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84196">
      <w:pPr>
        <w:pStyle w:val="83"/>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S5-26</w:t>
      </w:r>
      <w:r>
        <w:rPr>
          <w:rFonts w:hint="eastAsia"/>
          <w:b/>
          <w:i/>
          <w:sz w:val="28"/>
          <w:lang w:val="en-US" w:eastAsia="zh-CN"/>
        </w:rPr>
        <w:t>0138</w:t>
      </w:r>
      <w:bookmarkStart w:id="11" w:name="_GoBack"/>
      <w:bookmarkEnd w:id="11"/>
    </w:p>
    <w:p w14:paraId="64C91465">
      <w:pPr>
        <w:pStyle w:val="35"/>
        <w:rPr>
          <w:sz w:val="22"/>
          <w:szCs w:val="22"/>
        </w:rPr>
      </w:pPr>
      <w:r>
        <w:rPr>
          <w:sz w:val="24"/>
        </w:rPr>
        <w:t>Goa, India, 09 - 13 February 2026</w:t>
      </w:r>
    </w:p>
    <w:p w14:paraId="11205F1B">
      <w:pPr>
        <w:rPr>
          <w:rFonts w:ascii="Arial" w:hAnsi="Arial" w:cs="Arial"/>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r>
        <w:rPr>
          <w:rFonts w:ascii="Arial" w:hAnsi="Arial" w:cs="Arial"/>
          <w:b/>
          <w:bCs/>
          <w:lang w:val="en-US"/>
        </w:rPr>
        <w:t>, ZTE Corporation</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Pseudo-CR on TR 32.801-01 Add</w:t>
      </w:r>
      <w:r>
        <w:rPr>
          <w:rFonts w:hint="default" w:ascii="Arial" w:hAnsi="Arial" w:cs="Arial"/>
          <w:b/>
          <w:bCs/>
          <w:lang w:val="en-US" w:eastAsia="zh-CN"/>
        </w:rPr>
        <w:t xml:space="preserve"> </w:t>
      </w:r>
      <w:r>
        <w:rPr>
          <w:rFonts w:hint="default" w:ascii="Arial" w:hAnsi="Arial" w:cs="Arial"/>
          <w:b/>
          <w:bCs/>
          <w:lang w:val="en-US"/>
        </w:rPr>
        <w:t>Autonomous Network Operation Scenarios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41D7AC78">
      <w:pPr>
        <w:rPr>
          <w:lang w:val="en-US"/>
        </w:rPr>
      </w:pPr>
      <w:r>
        <w:rPr>
          <w:lang w:val="en-US"/>
        </w:rPr>
        <w:t>This contribution proposes to add structure for TR 32.801-01 based on SP-251653</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C85F97">
      <w:pPr>
        <w:pStyle w:val="2"/>
      </w:pPr>
      <w:r>
        <w:t>6</w:t>
      </w:r>
      <w:r>
        <w:tab/>
      </w:r>
      <w:r>
        <w:t>6G Management Scenarios</w:t>
      </w:r>
    </w:p>
    <w:p w14:paraId="6579B6AF">
      <w:pPr>
        <w:pStyle w:val="3"/>
        <w:rPr>
          <w:lang w:eastAsia="zh-CN"/>
        </w:rPr>
      </w:pPr>
      <w:r>
        <w:rPr>
          <w:lang w:eastAsia="zh-CN"/>
        </w:rPr>
        <w:t>6.</w:t>
      </w:r>
      <w:r>
        <w:rPr>
          <w:rFonts w:hint="eastAsia"/>
          <w:lang w:val="en-US" w:eastAsia="zh-CN"/>
        </w:rPr>
        <w:t>x</w:t>
      </w:r>
      <w:r>
        <w:rPr>
          <w:lang w:eastAsia="zh-CN"/>
        </w:rPr>
        <w:t xml:space="preserve"> Enhanced and new management scenarios for 6G</w:t>
      </w:r>
    </w:p>
    <w:p w14:paraId="213EF54E">
      <w:pPr>
        <w:rPr>
          <w:i/>
        </w:rPr>
      </w:pPr>
      <w:r>
        <w:rPr>
          <w:i/>
        </w:rPr>
        <w:t>Editor's note 1: This clause will contain new 6G management scenarios and the corresponding requirements.</w:t>
      </w:r>
    </w:p>
    <w:p w14:paraId="23ED34B2">
      <w:pPr>
        <w:pStyle w:val="4"/>
        <w:rPr>
          <w:lang w:eastAsia="zh-CN"/>
        </w:rPr>
      </w:pPr>
      <w:r>
        <w:rPr>
          <w:lang w:eastAsia="zh-CN"/>
        </w:rPr>
        <w:t>6.</w:t>
      </w:r>
      <w:r>
        <w:rPr>
          <w:rFonts w:hint="eastAsia"/>
          <w:lang w:val="en-US" w:eastAsia="zh-CN"/>
        </w:rPr>
        <w:t>x</w:t>
      </w:r>
      <w:r>
        <w:rPr>
          <w:lang w:eastAsia="zh-CN"/>
        </w:rPr>
        <w:t>.</w:t>
      </w:r>
      <w:r>
        <w:rPr>
          <w:rFonts w:hint="eastAsia"/>
          <w:lang w:val="en-US" w:eastAsia="zh-CN"/>
        </w:rPr>
        <w:t>y</w:t>
      </w:r>
      <w:r>
        <w:rPr>
          <w:lang w:eastAsia="zh-CN"/>
        </w:rPr>
        <w:t xml:space="preserve"> &lt;</w:t>
      </w:r>
      <w:r>
        <w:rPr>
          <w:rFonts w:hint="eastAsia"/>
        </w:rPr>
        <w:t>Autonomous Network Operation Scenarios</w:t>
      </w:r>
      <w:r>
        <w:rPr>
          <w:lang w:eastAsia="zh-CN"/>
        </w:rPr>
        <w:t>#</w:t>
      </w:r>
      <w:r>
        <w:rPr>
          <w:rFonts w:hint="eastAsia"/>
          <w:lang w:val="en-US" w:eastAsia="zh-CN"/>
        </w:rPr>
        <w:t>1</w:t>
      </w:r>
      <w:r>
        <w:rPr>
          <w:lang w:eastAsia="zh-CN"/>
        </w:rPr>
        <w:t>&gt;</w:t>
      </w:r>
    </w:p>
    <w:p w14:paraId="4B042682">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 xml:space="preserve">.1 Management Scenario #&lt;1&gt;: </w:t>
      </w:r>
      <w:r>
        <w:rPr>
          <w:rFonts w:ascii="Arial" w:hAnsi="Arial"/>
          <w:sz w:val="28"/>
          <w:lang w:eastAsia="zh-CN"/>
        </w:rPr>
        <w:t>&lt;</w:t>
      </w:r>
      <w:r>
        <w:rPr>
          <w:rFonts w:hint="default"/>
          <w:sz w:val="28"/>
          <w:lang w:eastAsia="zh-CN"/>
        </w:rPr>
        <w:t>Automatic Fault Diagnosis and Recovery</w:t>
      </w:r>
      <w:r>
        <w:rPr>
          <w:rFonts w:ascii="Arial" w:hAnsi="Arial"/>
          <w:sz w:val="28"/>
          <w:lang w:eastAsia="zh-CN"/>
        </w:rPr>
        <w:t>&gt;</w:t>
      </w:r>
    </w:p>
    <w:p w14:paraId="07D8BE49">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.1 Description</w:t>
      </w:r>
    </w:p>
    <w:p w14:paraId="46CE47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This scenario relies on the global perception capability and intelligent decision engine of the 6G self-intelligent network. It aims to achieve a fully automated closed-loop process from fault detection, diagnosis, localization to recovery, based on the technical characteristics of 6G satellite-ground integration, integrated perception and communication, and heterogeneous network element coordination. Without manual intervention, it can quickly resolve cross-domain and hidden network anomalies, ensuring the continuity and service quality of key 6G services such as vehicle-road coordination and industrial metaverse. Through the deployment of integrated perception nodes on the ground core network, space-air nodes, edge computing units, and terminal sides, multi-dimensional fault correlation data is collected in real time, covering alarm logs of perception and communication equipment, satellite-ground protocol interaction messages, performance index fluctuation data, link connectivity status, and cross-network element coordination logs, breaking through the fragmented limitations of traditional fault handling. Based on multi-modal fusion algorithms such as deep learning, knowledge graphs, and causal reasoning, a fault intelligent diagnosis system tailored for the 6G scenario is constructed to achieve accurate identification and root cause localization of faults in a satellite-ground integrated and cross-domain heterogeneous network environment.</w:t>
      </w:r>
    </w:p>
    <w:p w14:paraId="26F1C2A3">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eastAsia="zh-CN"/>
        </w:rPr>
        <w:t>Example: Automatic diagnosis and recovery of session failures in the core network of 6G satellite-ground integrated networks. The business process is as follows:</w:t>
      </w:r>
    </w:p>
    <w:p w14:paraId="247CE43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global sensing nodes synchronously collect alarm information, protocol stack logs, performance data, and service feedback from core network elements (SMF/AMF/UPF), low-orbit satellite terminals, and user devices.</w:t>
      </w:r>
    </w:p>
    <w:p w14:paraId="530CB98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intelligent diagnosis engine conducts correlation analysis on multi-source data, matches fault characteristics through knowledge graph, and locates the root cause (such as congestion in the N4 interface link between UPF and SMF, abnormal satellite-ground coordination context synchronization, and failure of terminal SIM card authentication).</w:t>
      </w:r>
    </w:p>
    <w:p w14:paraId="60AED4C1">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decision engine, in conjunction with 6G network topology and service priorities (such as giving priority to vehicle-to-road coordination services), generates differentiated recovery strategies. For high-priority services, it initiates redundant resource switching, while for ordinary services, it adopts parameter optimization or faulty network element isolation schemes</w:t>
      </w:r>
    </w:p>
    <w:p w14:paraId="63CEDD22">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automation execution module issues commands to perform recovery operations (such as switching UPF redundant links, restarting the satellite-ground coordination synchronization process, and pushing terminal authentication update commands).</w:t>
      </w:r>
    </w:p>
    <w:p w14:paraId="0605441E">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The verification module monitors indicators such as session reconstruction success rate and data transmission rate in real-time. After confirming the resolution of the fault, it records the processing process and results, and updates the fault knowledge graph and diagnostic model parameters.</w:t>
      </w:r>
    </w:p>
    <w:p w14:paraId="4DD6B91A">
      <w:pPr>
        <w:ind w:firstLine="420" w:firstLineChars="200"/>
        <w:jc w:val="both"/>
        <w:rPr>
          <w:rFonts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6. If the recovery fails, the fault level will be automatically upgraded, triggering the emergency response plan (such as activating the standby core network element and notifying operation and maintenance personnel for intervention), forming a closed-loop control throughout the entire process.</w:t>
      </w:r>
    </w:p>
    <w:p w14:paraId="1026DEE6">
      <w:pPr>
        <w:ind w:firstLine="420" w:firstLineChars="200"/>
        <w:rPr>
          <w:rFonts w:ascii="Segoe UI" w:hAnsi="Segoe UI" w:eastAsia="Segoe UI" w:cs="Segoe UI"/>
          <w:color w:val="0F1115"/>
          <w:sz w:val="21"/>
          <w:szCs w:val="21"/>
          <w:shd w:val="clear" w:fill="FFFFFF"/>
          <w:lang w:eastAsia="zh-CN"/>
        </w:rPr>
      </w:pPr>
    </w:p>
    <w:p w14:paraId="6FAEF910">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1</w:t>
      </w:r>
      <w:r>
        <w:rPr>
          <w:sz w:val="28"/>
          <w:lang w:eastAsia="zh-CN"/>
        </w:rPr>
        <w:t>.2 Potential Requirements</w:t>
      </w:r>
    </w:p>
    <w:p w14:paraId="28FF81E7">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4E813A7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[Biz-Req-1] The 3GPP management system should support integrated perception from the core network, space-air nodes to the terminal, and real-time collection of multi-dimensional fault correlation data across domains and heterogeneous network elements.</w:t>
      </w:r>
    </w:p>
    <w:p w14:paraId="361C8C9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[Biz-Req-2] The 3GPP management system should integrate a multimodal AI diagnostic engine, supporting knowledge graph and causal reasoning, to achieve precise fault localization in complex scenarios such as 6G satellite-ground integration.</w:t>
      </w:r>
    </w:p>
    <w:p w14:paraId="0904264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[Biz-Req-3] The 3GPP management system should be able to automatically generate and implement differentiated recovery strategies (such as redundant switching and parameter optimization) based on the root cause of the failure and service priority.</w:t>
      </w:r>
    </w:p>
    <w:p w14:paraId="778C34C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[Biz-Req-4] The 3GPP management system should achieve closed-loop verification and autonomous learning throughout the entire fault handling process, and feed back the processing results to continuously optimize the diagnostic model and knowledge base.</w:t>
      </w:r>
    </w:p>
    <w:p w14:paraId="6F5E7D31">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0AF74E81">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04F29C5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Unified Modeling and Collection of Cross-domain, Heterogeneous Fault Data</w:t>
      </w:r>
    </w:p>
    <w:p w14:paraId="62DDF6C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global fault perception for complex networks such as 6G satellite-terrestrial integration and integrated communication and perception, the management system needs to address how to uniformly model, standardize, and synchronize in real-time the diverse alarms, logs, and performance data from heterogeneous entities such as core networks, satellites, edges, and terminals.</w:t>
      </w:r>
    </w:p>
    <w:p w14:paraId="3B32EE36">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057B4A8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define and support a unified fault data meta-model, capable of standardizing the description of different types of alarms, protocol events, and performance indicators from ground network elements, on-board equipment, communication sensing modules, and terminals.</w:t>
      </w:r>
    </w:p>
    <w:p w14:paraId="265543F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deploy lightweight and integrated data collection probes/agents that support real-time collection and reporting of standardized fault correlation data with low overhead in heterogeneous environments, including ground core networks, space-air nodes, and edge devices.</w:t>
      </w:r>
    </w:p>
    <w:p w14:paraId="246F0BE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possess robust data aggregation and real-time stream processing capabilities, enabling time synchronization, event correlation, and preliminary filtering of fault data collected from multiple sources. This will result in a unified, time-series event stream that can be consumed by the diagnostic engine.</w:t>
      </w:r>
    </w:p>
    <w:p w14:paraId="529C887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7CC76FB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Accurate and Explainable Root Cause Diagnosis in Complex 6G Scenarios</w:t>
      </w:r>
    </w:p>
    <w:p w14:paraId="5B9839A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address the cross-domain and covert nature of 6G network failures, the management system needs to figure out how to build an intelligent diagnosis system that integrates domain knowledge, causal relationships, and AI models. This system should be capable of accurately identifying the root cause in complex satellite-ground and perception-communication interactions, and providing interpretable diagnosis results.</w:t>
      </w:r>
    </w:p>
    <w:p w14:paraId="05C156A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283C33D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maintain a domain knowledge graph that includes 6G network topology, protocol interactions, typical failure modes, and their associated relationships, serving as the reasoning foundation for diagnosis.</w:t>
      </w:r>
    </w:p>
    <w:p w14:paraId="5238FF0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integrate a multimodal diagnostic algorithm engine that supports the combination of time series analysis, graph neural networks, and causal inference models to conduct in-depth analysis of the input event stream and calculate the probabilities of different potential root causes.</w:t>
      </w:r>
    </w:p>
    <w:p w14:paraId="031F835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diagnostic reports generated by the management system must be interpretable, clearly demonstrating the reasoning chain from the original alarm to the root cause identification, key evidence, and confidence level, rather than simply being a "black box" output.</w:t>
      </w:r>
    </w:p>
    <w:p w14:paraId="48877F6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3F13BB2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Automated, Safe and Differentiated Fault Recovery Strategy Execution</w:t>
      </w:r>
    </w:p>
    <w:p w14:paraId="14F9D23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After accurately locating the fault, the management system needs to address how to automatically generate safe, differentiated, and immediately executable recovery strategies based on the root cause type, real-time network status, and business SLA priority, and reliably deliver them to the corresponding heterogeneous execution endpoints.</w:t>
      </w:r>
    </w:p>
    <w:p w14:paraId="08C4C91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1115659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have a built-in policy knowledge base and inference engine that can match or dynamically generate specific recovery actions (such as switching links or restarting processes) based on diagnosed root causes (such as congestion on the N4 interface or abnormal satellite-ground synchronization) and business priority rules.</w:t>
      </w:r>
    </w:p>
    <w:p w14:paraId="23E6AE7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perform lightweight "pre-validation" on the generated recovery strategies, such as rapid simulation through digital twins or dependency checks, to assess whether the execution of the strategies will not trigger secondary failures or violate critical constraints.</w:t>
      </w:r>
    </w:p>
    <w:p w14:paraId="50535FC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possess secure command issuance channels and execution status monitoring capabilities, enabling it to reliably issue commands to actuators in different domains such as the core network, satellite network controller, and terminal management platform, and confirm the execution results.</w:t>
      </w:r>
    </w:p>
    <w:p w14:paraId="62DBCE60">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5E7821B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Closed-loop Validation and Autonomous Optimization of the Fault Management System</w:t>
      </w:r>
    </w:p>
    <w:p w14:paraId="328A17A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build a continuously evolving autonomous system, the management system needs to address how to conduct closed-loop verification of the full-process effectiveness of fault handling, and utilize the data generated during the handling process to automatically optimize diagnostic models, strategy libraries, and knowledge graphs.</w:t>
      </w:r>
    </w:p>
    <w:p w14:paraId="4A8E8E97">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08973A3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automatically initiate the effect verification process after the recovery strategy is executed, continuously monitor whether the relevant business KPIs have returned to normal ranges, and confirm whether the fault symptoms have been eliminated.</w:t>
      </w:r>
    </w:p>
    <w:p w14:paraId="121DDCB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meticulously document the complete case of each fault handling, encompassing input data, diagnostic results, implementation strategies, and verification outcomes, and archive them in a searchable case library.</w:t>
      </w:r>
    </w:p>
    <w:p w14:paraId="5FF5D9B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provide a model self-optimization mechanism that can automatically trigger the retraining and tuning of diagnostic AI models, strategy matching rules, and knowledge graphs using case data, either periodically or after accumulating sufficient cases, to continuously improve the accuracy and efficiency of handling.</w:t>
      </w:r>
    </w:p>
    <w:p w14:paraId="7CE5B4A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5B17ED3B">
      <w:pPr>
        <w:pStyle w:val="76"/>
        <w:rPr>
          <w:lang w:eastAsia="zh-CN"/>
        </w:rPr>
      </w:pPr>
    </w:p>
    <w:p w14:paraId="680C2007">
      <w:pPr>
        <w:pStyle w:val="5"/>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2</w:t>
      </w:r>
      <w:r>
        <w:rPr>
          <w:sz w:val="28"/>
          <w:lang w:eastAsia="zh-CN"/>
        </w:rPr>
        <w:t xml:space="preserve"> Management Scenario #&lt;</w:t>
      </w:r>
      <w:r>
        <w:rPr>
          <w:rFonts w:hint="eastAsia"/>
          <w:sz w:val="28"/>
          <w:lang w:val="en-US" w:eastAsia="zh-CN"/>
        </w:rPr>
        <w:t>2</w:t>
      </w:r>
      <w:r>
        <w:rPr>
          <w:sz w:val="28"/>
          <w:lang w:eastAsia="zh-CN"/>
        </w:rPr>
        <w:t xml:space="preserve">&gt;: </w:t>
      </w:r>
      <w:r>
        <w:rPr>
          <w:rFonts w:ascii="Arial" w:hAnsi="Arial"/>
          <w:sz w:val="28"/>
          <w:lang w:eastAsia="zh-CN"/>
        </w:rPr>
        <w:t>&lt;</w:t>
      </w:r>
      <w:r>
        <w:rPr>
          <w:rFonts w:hint="default"/>
          <w:sz w:val="28"/>
          <w:lang w:eastAsia="zh-CN"/>
        </w:rPr>
        <w:t>Automatic Network Optimization</w:t>
      </w:r>
      <w:r>
        <w:rPr>
          <w:rFonts w:ascii="Arial" w:hAnsi="Arial"/>
          <w:sz w:val="28"/>
          <w:lang w:eastAsia="zh-CN"/>
        </w:rPr>
        <w:t>&gt;</w:t>
      </w:r>
    </w:p>
    <w:p w14:paraId="6BD3309F">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2</w:t>
      </w:r>
      <w:r>
        <w:rPr>
          <w:sz w:val="28"/>
          <w:lang w:eastAsia="zh-CN"/>
        </w:rPr>
        <w:t>.1 Description</w:t>
      </w:r>
    </w:p>
    <w:p w14:paraId="0E8B4D9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This scenario is based on the real-time perception, intelligent analysis, and dynamic scheduling capabilities of the 6G self-intelligent network. It aims to achieve full lifecycle automation optimization of network resource allocation, service parameters, and topology structure, addressing the technical characteristics of 6G integrated perception and intelligence, satellite-ground fusion, and dynamic and variable services. It can adapt to dynamic scenarios such as service traffic fluctuations, user distribution changes, and satellite-ground topology adjustments without manual intervention, continuously improving network operation efficiency, resource utilization, and service quality. Through the globally deployed perception nodes and edge computing units, it continuously collects multi-dimensional operation data of the 6G network, including service traffic characteristics (peak periods, flow distribution, bandwidth requirements), resource occupancy status (CPU utilization, computing power occupancy, link bandwidth utilization), wireless air interface parameters (SINR, cell load, handover success rate), perception and intelligence service indicators (positioning accuracy, data transmission rate), and satellite-ground topology information, to construct a full-dimensional network operation situation view. Based on AI technologies such as reinforcement learning and predictive optimization models, combined with service SLA and 6G network operation constraints, it achieves automatic operations such as dynamic resource allocation, parameter adaptive adjustment, and topology optimization, balancing network performance, cost, and user experience.</w:t>
      </w:r>
    </w:p>
    <w:p w14:paraId="534BC2B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eastAsia"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Example: 6G RAN integrated perception and dynamic air interface optimization. The business process is as follows:</w:t>
      </w:r>
    </w:p>
    <w:p w14:paraId="44BBAC6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default"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eastAsia="zh-CN"/>
        </w:rPr>
        <w:t>1. Edge sensing nodes and gNB intelligent probes collect air interface metrics (SINR, transmit power, cell load), user distribution data, traffic characteristics (time-sharing peak, bandwidth ratio), intelligent sensing business indicators, and hardware resource status (DU/CU computing power, RF module power consumption) in real-time</w:t>
      </w:r>
      <w:r>
        <w:rPr>
          <w:rFonts w:hint="eastAsia" w:ascii="Segoe UI" w:hAnsi="Segoe UI" w:eastAsia="Segoe UI" w:cs="Segoe UI"/>
          <w:color w:val="0F1115"/>
          <w:sz w:val="21"/>
          <w:szCs w:val="21"/>
          <w:shd w:val="clear" w:fill="FFFFFF"/>
          <w:lang w:val="en-US" w:eastAsia="zh-CN"/>
        </w:rPr>
        <w:t>.</w:t>
      </w:r>
    </w:p>
    <w:p w14:paraId="6E27CB4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default"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eastAsia="zh-CN"/>
        </w:rPr>
        <w:t>2. The edge analysis unit preprocesses real-time data, extracts optimized features (high-load cells, edge user aggregation areas), and combines historical data to predict the traffic change trend for the next 1-2 hours</w:t>
      </w:r>
      <w:r>
        <w:rPr>
          <w:rFonts w:hint="eastAsia" w:ascii="Segoe UI" w:hAnsi="Segoe UI" w:eastAsia="Segoe UI" w:cs="Segoe UI"/>
          <w:color w:val="0F1115"/>
          <w:sz w:val="21"/>
          <w:szCs w:val="21"/>
          <w:shd w:val="clear" w:fill="FFFFFF"/>
          <w:lang w:val="en-US" w:eastAsia="zh-CN"/>
        </w:rPr>
        <w:t>.</w:t>
      </w:r>
    </w:p>
    <w:p w14:paraId="03D14F8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default"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eastAsia="zh-CN"/>
        </w:rPr>
        <w:t>3. The intelligent optimization engine utilizes a reinforcement learning model, incorporating 6G network topology and business SLA requirements (such as edge user rate ≥ 100Mbps, handover success rate ≥ 99.9%, and positioning accuracy ≤ 1m), to generate air interface optimization strategies, including cell transmit power adjustment, PCI reconfiguration, handover threshold optimization, cell splitting and merging, edge user beamforming adjustment, and cognitive resource scheduling parameter optimization, etc</w:t>
      </w:r>
      <w:r>
        <w:rPr>
          <w:rFonts w:hint="eastAsia" w:ascii="Segoe UI" w:hAnsi="Segoe UI" w:eastAsia="Segoe UI" w:cs="Segoe UI"/>
          <w:color w:val="0F1115"/>
          <w:sz w:val="21"/>
          <w:szCs w:val="21"/>
          <w:shd w:val="clear" w:fill="FFFFFF"/>
          <w:lang w:val="en-US" w:eastAsia="zh-CN"/>
        </w:rPr>
        <w:t>.</w:t>
      </w:r>
    </w:p>
    <w:p w14:paraId="289E04A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default"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eastAsia="zh-CN"/>
        </w:rPr>
        <w:t>4. Verify the feasibility of the orchestrator's strategy to avoid issues such as PCI conflicts and power adjustments affecting neighboring area coverage, and generate standardized execution instructions</w:t>
      </w:r>
      <w:r>
        <w:rPr>
          <w:rFonts w:hint="eastAsia" w:ascii="Segoe UI" w:hAnsi="Segoe UI" w:eastAsia="Segoe UI" w:cs="Segoe UI"/>
          <w:color w:val="0F1115"/>
          <w:sz w:val="21"/>
          <w:szCs w:val="21"/>
          <w:shd w:val="clear" w:fill="FFFFFF"/>
          <w:lang w:val="en-US" w:eastAsia="zh-CN"/>
        </w:rPr>
        <w:t>.</w:t>
      </w:r>
    </w:p>
    <w:p w14:paraId="00276ED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default"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eastAsia="zh-CN"/>
        </w:rPr>
        <w:t>5. The automated execution module issues instructions through the O-RAN interface and NETCONF protocol to complete parameter and resource configuration adjustments, all of which are completed with low user perception</w:t>
      </w:r>
      <w:r>
        <w:rPr>
          <w:rFonts w:hint="eastAsia" w:ascii="Segoe UI" w:hAnsi="Segoe UI" w:eastAsia="Segoe UI" w:cs="Segoe UI"/>
          <w:color w:val="0F1115"/>
          <w:sz w:val="21"/>
          <w:szCs w:val="21"/>
          <w:shd w:val="clear" w:fill="FFFFFF"/>
          <w:lang w:val="en-US" w:eastAsia="zh-CN"/>
        </w:rPr>
        <w:t>.</w:t>
      </w:r>
    </w:p>
    <w:p w14:paraId="0A9A547E">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20" w:firstLineChars="200"/>
        <w:jc w:val="both"/>
        <w:rPr>
          <w:rFonts w:hint="default" w:ascii="Segoe UI" w:hAnsi="Segoe UI" w:eastAsia="Segoe UI" w:cs="Segoe UI"/>
          <w:color w:val="0F1115"/>
          <w:sz w:val="21"/>
          <w:szCs w:val="21"/>
          <w:shd w:val="clear" w:fill="FFFFFF"/>
          <w:lang w:val="en-US" w:eastAsia="zh-CN"/>
        </w:rPr>
      </w:pPr>
      <w:r>
        <w:rPr>
          <w:rFonts w:hint="eastAsia" w:ascii="Segoe UI" w:hAnsi="Segoe UI" w:eastAsia="Segoe UI" w:cs="Segoe UI"/>
          <w:color w:val="0F1115"/>
          <w:sz w:val="21"/>
          <w:szCs w:val="21"/>
          <w:shd w:val="clear" w:fill="FFFFFF"/>
          <w:lang w:eastAsia="zh-CN"/>
        </w:rPr>
        <w:t>6. The optimization verification module continuously monitors the optimized indicators, compares data such as cell capacity, user speed, handover success rate, communication and sensing service quality, and power consumption, and evaluates the optimization effect</w:t>
      </w:r>
      <w:r>
        <w:rPr>
          <w:rFonts w:hint="eastAsia" w:ascii="Segoe UI" w:hAnsi="Segoe UI" w:eastAsia="Segoe UI" w:cs="Segoe UI"/>
          <w:color w:val="0F1115"/>
          <w:sz w:val="21"/>
          <w:szCs w:val="21"/>
          <w:shd w:val="clear" w:fill="FFFFFF"/>
          <w:lang w:val="en-US" w:eastAsia="zh-CN"/>
        </w:rPr>
        <w:t>.</w:t>
      </w:r>
    </w:p>
    <w:p w14:paraId="1CEB087D">
      <w:pPr>
        <w:ind w:firstLine="420" w:firstLineChars="200"/>
        <w:jc w:val="both"/>
        <w:rPr>
          <w:rFonts w:ascii="Segoe UI" w:hAnsi="Segoe UI" w:eastAsia="Segoe UI" w:cs="Segoe UI"/>
          <w:color w:val="0F1115"/>
          <w:sz w:val="21"/>
          <w:szCs w:val="21"/>
          <w:shd w:val="clear" w:fill="FFFFFF"/>
          <w:lang w:eastAsia="zh-CN"/>
        </w:rPr>
      </w:pPr>
      <w:r>
        <w:rPr>
          <w:rFonts w:hint="eastAsia" w:ascii="Segoe UI" w:hAnsi="Segoe UI" w:eastAsia="Segoe UI" w:cs="Segoe UI"/>
          <w:color w:val="0F1115"/>
          <w:sz w:val="21"/>
          <w:szCs w:val="21"/>
          <w:shd w:val="clear" w:fill="FFFFFF"/>
          <w:lang w:eastAsia="zh-CN"/>
        </w:rPr>
        <w:t>7. If the optimization meets the standards, solidify the strategy and update the model parameters; if not, automatically trigger a second optimization, adjust the strategy parameters until the target is met, forming a closed-loop optimization mechanism.</w:t>
      </w:r>
    </w:p>
    <w:p w14:paraId="4F9C3755">
      <w:pPr>
        <w:pStyle w:val="6"/>
        <w:rPr>
          <w:sz w:val="28"/>
          <w:lang w:eastAsia="zh-CN"/>
        </w:rPr>
      </w:pPr>
      <w:r>
        <w:rPr>
          <w:sz w:val="28"/>
          <w:lang w:eastAsia="zh-CN"/>
        </w:rPr>
        <w:t>6.</w:t>
      </w:r>
      <w:r>
        <w:rPr>
          <w:rFonts w:hint="eastAsia"/>
          <w:sz w:val="28"/>
          <w:lang w:val="en-US" w:eastAsia="zh-CN"/>
        </w:rPr>
        <w:t>x</w:t>
      </w:r>
      <w:r>
        <w:rPr>
          <w:sz w:val="28"/>
          <w:lang w:eastAsia="zh-CN"/>
        </w:rPr>
        <w:t>.</w:t>
      </w:r>
      <w:r>
        <w:rPr>
          <w:rFonts w:hint="eastAsia"/>
          <w:sz w:val="28"/>
          <w:lang w:val="en-US" w:eastAsia="zh-CN"/>
        </w:rPr>
        <w:t>y</w:t>
      </w:r>
      <w:r>
        <w:rPr>
          <w:sz w:val="28"/>
          <w:lang w:eastAsia="zh-CN"/>
        </w:rPr>
        <w:t>.</w:t>
      </w:r>
      <w:r>
        <w:rPr>
          <w:rFonts w:hint="eastAsia"/>
          <w:sz w:val="28"/>
          <w:lang w:val="en-US" w:eastAsia="zh-CN"/>
        </w:rPr>
        <w:t>2</w:t>
      </w:r>
      <w:r>
        <w:rPr>
          <w:sz w:val="28"/>
          <w:lang w:eastAsia="zh-CN"/>
        </w:rPr>
        <w:t>.2 Potential Requirements</w:t>
      </w:r>
    </w:p>
    <w:p w14:paraId="7D1DAEA8">
      <w:pPr>
        <w:numPr>
          <w:ilvl w:val="0"/>
          <w:numId w:val="0"/>
        </w:numPr>
        <w:ind w:firstLine="420" w:firstLineChars="200"/>
        <w:rPr>
          <w:rFonts w:hint="eastAsia"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shd w:val="clear" w:fill="FFFFFF"/>
          <w:lang w:val="en-US" w:eastAsia="zh-CN" w:bidi="ar"/>
        </w:rPr>
        <w:t>Potential Business Requirements:</w:t>
      </w:r>
    </w:p>
    <w:p w14:paraId="4582F27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[Biz-Req-1] The 3GPP management system should support real-time collection of multi-dimensional operational data from the RAN, core network, and terminals, to construct a comprehensive dynamic situational view of network resources, services, and performance.</w:t>
      </w:r>
    </w:p>
    <w:p w14:paraId="2A96C518">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[Biz-Req-2] The 3GPP management system should integrate an intelligent optimization engine based on AI (such as reinforcement learning), which can automatically generate and dynamically adjust resource allocation and air interface parameter strategies according to SLA and constraints.</w:t>
      </w:r>
    </w:p>
    <w:p w14:paraId="711A0F4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[Biz-Req-3] The 3GPP management system should perform security and conflict pre-verification on the generated optimization strategies, and automate their execution through standardized interfaces (such as O-RAN) to ensure safe and reliable operations.</w:t>
      </w:r>
    </w:p>
    <w:p w14:paraId="293C13D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[Biz-Req-4] The 3GPP management system should establish a closed-loop optimization mechanism of "execution-monitoring-evaluation-iteration" to continuously verify the effectiveness and learn autonomously, thereby driving the continuous improvement of network performance and efficiency.</w:t>
      </w:r>
    </w:p>
    <w:p w14:paraId="3015C234">
      <w:pPr>
        <w:numPr>
          <w:ilvl w:val="0"/>
          <w:numId w:val="0"/>
        </w:numPr>
        <w:ind w:firstLine="420" w:firstLineChars="200"/>
        <w:rPr>
          <w:rFonts w:hint="eastAsia" w:ascii="Segoe UI" w:hAnsi="Segoe UI" w:eastAsia="Segoe UI" w:cs="Segoe UI"/>
          <w:color w:val="0F1115"/>
          <w:sz w:val="21"/>
          <w:szCs w:val="21"/>
          <w:shd w:val="clear" w:fill="FFFFFF"/>
          <w:lang w:val="en-US" w:eastAsia="zh-CN" w:bidi="ar"/>
        </w:rPr>
      </w:pPr>
    </w:p>
    <w:p w14:paraId="2BB8A732">
      <w:pPr>
        <w:numPr>
          <w:ilvl w:val="0"/>
          <w:numId w:val="0"/>
        </w:numPr>
        <w:ind w:firstLine="420" w:firstLineChars="200"/>
        <w:rPr>
          <w:rFonts w:hint="default" w:ascii="Segoe UI" w:hAnsi="Segoe UI" w:eastAsia="Segoe UI" w:cs="Segoe UI"/>
          <w:b/>
          <w:bCs/>
          <w:color w:val="0F1115"/>
          <w:sz w:val="21"/>
          <w:szCs w:val="21"/>
          <w:shd w:val="clear" w:fill="FFFFFF"/>
          <w:lang w:val="en-US" w:eastAsia="zh-CN" w:bidi="ar"/>
        </w:rPr>
      </w:pPr>
      <w:r>
        <w:rPr>
          <w:rFonts w:hint="eastAsia" w:ascii="Segoe UI" w:hAnsi="Segoe UI" w:eastAsia="Segoe UI" w:cs="Segoe UI"/>
          <w:b/>
          <w:bCs/>
          <w:color w:val="0F1115"/>
          <w:sz w:val="21"/>
          <w:szCs w:val="21"/>
          <w:u w:val="none"/>
          <w:shd w:val="clear" w:fill="FFFFFF"/>
          <w:lang w:val="en-US" w:eastAsia="zh-CN" w:bidi="ar"/>
        </w:rPr>
        <w:t>Key Issues and Technical Requirements:</w:t>
      </w:r>
    </w:p>
    <w:p w14:paraId="3AF9FEE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1: Unified Modeling and Real-time Acquisition of Multi-dimensional Network Dynamics</w:t>
      </w:r>
    </w:p>
    <w:p w14:paraId="4CACD2E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dynamic optimization for 6G integrated perception and communication, as well as satellite-ground fusion scenarios, the management system needs to address how to uniformly model, efficiently collect, and perform real-time aggregation of multi-dimensional heterogeneous data, including rapidly changing resource states, service characteristics, wireless environments, and user behaviors, in the network's operational state.</w:t>
      </w:r>
    </w:p>
    <w:p w14:paraId="4927AE22">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KI-1:</w:t>
      </w:r>
    </w:p>
    <w:p w14:paraId="4F9741FD">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[Tech-Req-KI-1-1] The management system should define a unified operational data meta-model to standardize the description of performance indicators, resource utilization, traffic volume, and environmental context data from CU/DU, on-board equipment, perception modules, and user terminals.</w:t>
      </w:r>
    </w:p>
    <w:p w14:paraId="1A461B41">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55E2BE7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[Tech-Req-KI-1-2] The management system should support the deployment of lightweight, high-concurrency data collection probes at edge nodes and network element sides, enabling real-time collection of key optimization feature data with millisecond granularity and low-latency reporting.</w:t>
      </w:r>
    </w:p>
    <w:p w14:paraId="4DA0853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[Tech-Req-KI-1-3] The management system should possess robust stream data processing and fusion capabilities, enabling spatiotemporal alignment, feature extraction, and associative analysis of multi-source, heterogeneous real-time data, thereby forming a comprehensive and consistent view of network dynamic operations.</w:t>
      </w:r>
    </w:p>
    <w:p w14:paraId="2AABDDE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645950A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2: Predictive and Constraint-aware Dynamic Optimization Strategy Generation</w:t>
      </w:r>
    </w:p>
    <w:p w14:paraId="774B401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adapt to the dynamic and ever-changing characteristics of 6G networks and services, the management system needs to address how to automatically generate safe, efficient, and forward-looking optimization strategies based on real-time situational awareness and predictive information, under complex multi-objective (performance, energy efficiency, SLA) and multi-constraint (resources, interference, cost) conditions.</w:t>
      </w:r>
    </w:p>
    <w:p w14:paraId="009E028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KI-2:</w:t>
      </w:r>
    </w:p>
    <w:p w14:paraId="60EA2CD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[Tech-Req-KI-2-1] The management system should integrate or provide interfaces to access high-performance predictive models (such as time series prediction and traffic prediction), enabling short-term accurate predictions for key indicators such as local and global network load, user mobility, and more.</w:t>
      </w:r>
    </w:p>
    <w:p w14:paraId="5F5326CA">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[Tech-Req-KI-2-2] The management system should incorporate an optimization strategy engine based on AI (such as multi-objective reinforcement learning, evolutionary algorithms), which can comprehensively consider real-time status, prediction results, business SLA, and physical constraints, and automatically calculate optimal or near-optimal parameter adjustments, resource allocation, or topology change schemes.</w:t>
      </w:r>
    </w:p>
    <w:p w14:paraId="51ED806B">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[Tech-Req-KI-2-3] The optimization strategy generated by the management system must specify its optimization objectives (such as maximizing spectral efficiency and minimizing edge user latency) and expected KPI improvement values, and provide a confidence level or uncertainty assessment for the strategy.</w:t>
      </w:r>
    </w:p>
    <w:p w14:paraId="69F59C6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35D39E3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3: Safe, Atomic and Automated Execution of Optimization Actions</w:t>
      </w:r>
    </w:p>
    <w:p w14:paraId="0DC16CAC">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ensure that dynamic optimization operations do not affect network stability and business continuity, the management system needs to address how to perform security verification on the complex optimization strategies (such as multi-cell parameter linkage adjustment) to be executed, decompose them into sequences of instructions that can be executed safely and atomically, and reliably deliver them to heterogeneous devices.</w:t>
      </w:r>
    </w:p>
    <w:p w14:paraId="30518D5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KI-3:</w:t>
      </w:r>
    </w:p>
    <w:p w14:paraId="79520BF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[Tech-Req-KI-3-1] The management system should provide a policy pre-validation engine that can quickly simulate the potential side effects (such as PCI conflicts, coverage gaps, and signaling storms) that may arise from policy execution, identifying and mitigating risks before deployment.</w:t>
      </w:r>
    </w:p>
    <w:p w14:paraId="254D5C43">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[Tech-Req-KI-3-2] The management system should be able to automatically compile high-level optimization strategies into sequences of low-level configuration instructions that are atomic and transactional, targeting different device interfaces (such as O-RAN E2, NETCONF).</w:t>
      </w:r>
    </w:p>
    <w:p w14:paraId="6C0BD57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[Tech-Req-KI-3-3] The management system should support performing optimization operations during low-perception periods of business (such as predicted off-peak windows) or by utilizing lossless/smooth switching technology, and should be equipped with real-time monitoring and an exception rollback mechanism for the execution process.</w:t>
      </w:r>
    </w:p>
    <w:p w14:paraId="3E1696BF">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p>
    <w:p w14:paraId="6F8B99D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Key Issue 4: Closed-loop Performance Validation and Autonomous Learning for Continuous Optimization</w:t>
      </w:r>
    </w:p>
    <w:p w14:paraId="6F4133D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To achieve continuous improvement in optimization effectiveness and self-evolution of strategies, the management system needs to address how to quantitatively evaluate the effectiveness of each optimization action, and use the evaluation results as feedback signals to automatically drive the iterative updating of the optimization model, strategy library, and execution rules.</w:t>
      </w:r>
    </w:p>
    <w:p w14:paraId="32FEB48E">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Potential Technical Requirements for KI-4:</w:t>
      </w:r>
    </w:p>
    <w:p w14:paraId="21EA6E29">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[Tech-Req-KI-4-1] The management system should establish a standardized framework for evaluating optimization effects. After the implementation of strategies, it should automatically compare the changes in key KPIs before and after optimization, and quantitatively calculate the optimization benefits (such as the percentage increase in capacity and the magnitude of energy consumption reduction).</w:t>
      </w:r>
    </w:p>
    <w:p w14:paraId="09E7BB55">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[Tech-Req-KI-4-2] The management system should meticulously document the complete context, execution strategy, actual outcomes, and environmental variables of each optimization task, and establish a high-quality optimization case library for subsequent analysis.</w:t>
      </w:r>
    </w:p>
    <w:p w14:paraId="7BAD8004">
      <w:pPr>
        <w:numPr>
          <w:ilvl w:val="0"/>
          <w:numId w:val="0"/>
        </w:numPr>
        <w:ind w:firstLine="420" w:firstLineChars="200"/>
        <w:jc w:val="both"/>
        <w:rPr>
          <w:rFonts w:hint="eastAsia" w:ascii="Segoe UI" w:hAnsi="Segoe UI" w:eastAsia="Segoe UI" w:cs="Segoe UI"/>
          <w:color w:val="0F1115"/>
          <w:sz w:val="21"/>
          <w:szCs w:val="21"/>
          <w:shd w:val="clear" w:fill="FFFFFF"/>
          <w:lang w:val="en-US" w:eastAsia="zh-CN" w:bidi="ar"/>
        </w:rPr>
      </w:pPr>
      <w:r>
        <w:rPr>
          <w:rFonts w:hint="eastAsia" w:ascii="Segoe UI" w:hAnsi="Segoe UI" w:eastAsia="Segoe UI" w:cs="Segoe UI"/>
          <w:color w:val="0F1115"/>
          <w:sz w:val="21"/>
          <w:szCs w:val="21"/>
          <w:shd w:val="clear" w:fill="FFFFFF"/>
          <w:lang w:val="en-US" w:eastAsia="zh-CN" w:bidi="ar"/>
        </w:rPr>
        <w:t>[Tech-Req-KI-4-3] The management system should provide an online learning and knowledge updating mechanism for models, capable of utilizing case library data to periodically or trigger-wise retrain predictive models and optimization algorithms, and solidify successful strategies into reusable empirical rules, achieving a spiral improvement in the system's autonomous capabilities.</w:t>
      </w:r>
    </w:p>
    <w:p w14:paraId="198684D7">
      <w:pPr>
        <w:pStyle w:val="76"/>
        <w:jc w:val="both"/>
        <w:rPr>
          <w:lang w:eastAsia="zh-CN"/>
        </w:rPr>
      </w:pPr>
    </w:p>
    <w:p w14:paraId="125B765D">
      <w:pPr>
        <w:pStyle w:val="76"/>
        <w:jc w:val="both"/>
        <w:rPr>
          <w:lang w:eastAsia="zh-CN"/>
        </w:rPr>
      </w:pPr>
    </w:p>
    <w:p w14:paraId="15F76069"/>
    <w:p w14:paraId="4E3A6C0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4EC76C">
      <w:pPr>
        <w:pStyle w:val="11"/>
      </w:pPr>
      <w:bookmarkStart w:id="0" w:name="_Toc215665857"/>
      <w:bookmarkStart w:id="1" w:name="_Toc215056210"/>
      <w:bookmarkStart w:id="2" w:name="_Toc214989633"/>
      <w:bookmarkStart w:id="3" w:name="_Toc204948731"/>
      <w:bookmarkStart w:id="4" w:name="_Toc204948604"/>
      <w:bookmarkStart w:id="5" w:name="_Toc214981708"/>
      <w:bookmarkStart w:id="6" w:name="_Toc206752147"/>
      <w:r>
        <w:t>Annex A:</w:t>
      </w:r>
      <w:r>
        <w:br w:type="textWrapping"/>
      </w:r>
      <w:bookmarkEnd w:id="0"/>
      <w:bookmarkEnd w:id="1"/>
      <w:bookmarkEnd w:id="2"/>
      <w:bookmarkEnd w:id="3"/>
      <w:bookmarkEnd w:id="4"/>
      <w:bookmarkEnd w:id="5"/>
      <w:bookmarkEnd w:id="6"/>
      <w:r>
        <w:t>Management Scenarios, Key Issues, and Solutions Mapping</w:t>
      </w:r>
    </w:p>
    <w:p w14:paraId="13453847">
      <w:pPr>
        <w:pStyle w:val="2"/>
      </w:pPr>
      <w:bookmarkStart w:id="7" w:name="_Toc215665859"/>
      <w:bookmarkStart w:id="8" w:name="_Toc214981710"/>
      <w:bookmarkStart w:id="9" w:name="_Toc215056212"/>
      <w:bookmarkStart w:id="10" w:name="_Toc214989635"/>
      <w:r>
        <w:t>A.1</w:t>
      </w:r>
      <w:r>
        <w:tab/>
      </w:r>
      <w:r>
        <w:t>Mapping between Management Scenarios and Key Issues</w:t>
      </w:r>
      <w:bookmarkEnd w:id="7"/>
      <w:bookmarkEnd w:id="8"/>
      <w:bookmarkEnd w:id="9"/>
      <w:bookmarkEnd w:id="10"/>
    </w:p>
    <w:p w14:paraId="618CBE8D">
      <w:pPr>
        <w:pStyle w:val="58"/>
      </w:pPr>
      <w:r>
        <w:t>Table A.2-1: Mapping of Key Issues to Management Scenarios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567"/>
        <w:gridCol w:w="351"/>
        <w:gridCol w:w="542"/>
        <w:gridCol w:w="544"/>
        <w:gridCol w:w="544"/>
        <w:gridCol w:w="544"/>
        <w:gridCol w:w="544"/>
        <w:gridCol w:w="544"/>
        <w:gridCol w:w="544"/>
        <w:gridCol w:w="615"/>
        <w:gridCol w:w="615"/>
        <w:gridCol w:w="615"/>
        <w:gridCol w:w="615"/>
        <w:gridCol w:w="615"/>
      </w:tblGrid>
      <w:tr w14:paraId="7989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696" w:type="dxa"/>
            <w:vMerge w:val="restart"/>
          </w:tcPr>
          <w:p w14:paraId="6F77215A">
            <w:pPr>
              <w:pStyle w:val="54"/>
              <w:rPr>
                <w:sz w:val="16"/>
                <w:szCs w:val="16"/>
              </w:rPr>
            </w:pPr>
            <w:r>
              <w:rPr>
                <w:sz w:val="16"/>
                <w:szCs w:val="16"/>
              </w:rPr>
              <w:t>Key Issues</w:t>
            </w:r>
          </w:p>
        </w:tc>
        <w:tc>
          <w:tcPr>
            <w:tcW w:w="7799" w:type="dxa"/>
            <w:gridSpan w:val="14"/>
          </w:tcPr>
          <w:p w14:paraId="48477CBF">
            <w:pPr>
              <w:pStyle w:val="54"/>
              <w:rPr>
                <w:szCs w:val="18"/>
              </w:rPr>
            </w:pPr>
            <w:r>
              <w:rPr>
                <w:sz w:val="16"/>
                <w:szCs w:val="16"/>
              </w:rPr>
              <w:t>Management Scenarios</w:t>
            </w:r>
          </w:p>
        </w:tc>
      </w:tr>
      <w:tr w14:paraId="61F1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1696" w:type="dxa"/>
            <w:vMerge w:val="continue"/>
          </w:tcPr>
          <w:p w14:paraId="2A02A82D">
            <w:pPr>
              <w:pStyle w:val="54"/>
              <w:rPr>
                <w:sz w:val="16"/>
                <w:szCs w:val="16"/>
              </w:rPr>
            </w:pPr>
          </w:p>
        </w:tc>
        <w:tc>
          <w:tcPr>
            <w:tcW w:w="567" w:type="dxa"/>
          </w:tcPr>
          <w:p w14:paraId="42FA9EB0">
            <w:pPr>
              <w:pStyle w:val="54"/>
              <w:rPr>
                <w:sz w:val="14"/>
                <w:szCs w:val="16"/>
              </w:rPr>
            </w:pPr>
            <w:r>
              <w:rPr>
                <w:sz w:val="14"/>
                <w:szCs w:val="16"/>
              </w:rPr>
              <w:t>1</w:t>
            </w:r>
          </w:p>
        </w:tc>
        <w:tc>
          <w:tcPr>
            <w:tcW w:w="351" w:type="dxa"/>
          </w:tcPr>
          <w:p w14:paraId="23A6A5B3">
            <w:pPr>
              <w:pStyle w:val="54"/>
              <w:rPr>
                <w:sz w:val="14"/>
                <w:szCs w:val="16"/>
              </w:rPr>
            </w:pPr>
            <w:r>
              <w:rPr>
                <w:sz w:val="14"/>
                <w:szCs w:val="16"/>
              </w:rPr>
              <w:t>2</w:t>
            </w:r>
          </w:p>
        </w:tc>
        <w:tc>
          <w:tcPr>
            <w:tcW w:w="542" w:type="dxa"/>
          </w:tcPr>
          <w:p w14:paraId="4B2F7CBF">
            <w:pPr>
              <w:pStyle w:val="54"/>
              <w:rPr>
                <w:sz w:val="14"/>
                <w:szCs w:val="16"/>
              </w:rPr>
            </w:pPr>
            <w:r>
              <w:rPr>
                <w:sz w:val="14"/>
                <w:szCs w:val="16"/>
              </w:rPr>
              <w:t>3</w:t>
            </w:r>
          </w:p>
        </w:tc>
        <w:tc>
          <w:tcPr>
            <w:tcW w:w="544" w:type="dxa"/>
          </w:tcPr>
          <w:p w14:paraId="77D1987B">
            <w:pPr>
              <w:pStyle w:val="54"/>
              <w:rPr>
                <w:sz w:val="14"/>
                <w:szCs w:val="16"/>
              </w:rPr>
            </w:pPr>
            <w:r>
              <w:rPr>
                <w:sz w:val="14"/>
                <w:szCs w:val="16"/>
              </w:rPr>
              <w:t>4</w:t>
            </w:r>
          </w:p>
        </w:tc>
        <w:tc>
          <w:tcPr>
            <w:tcW w:w="544" w:type="dxa"/>
          </w:tcPr>
          <w:p w14:paraId="3ED39281">
            <w:pPr>
              <w:pStyle w:val="54"/>
              <w:rPr>
                <w:sz w:val="14"/>
                <w:szCs w:val="16"/>
              </w:rPr>
            </w:pPr>
            <w:r>
              <w:rPr>
                <w:sz w:val="14"/>
                <w:szCs w:val="16"/>
              </w:rPr>
              <w:t>5</w:t>
            </w:r>
          </w:p>
        </w:tc>
        <w:tc>
          <w:tcPr>
            <w:tcW w:w="544" w:type="dxa"/>
          </w:tcPr>
          <w:p w14:paraId="55A84763">
            <w:pPr>
              <w:pStyle w:val="54"/>
              <w:rPr>
                <w:sz w:val="14"/>
                <w:szCs w:val="16"/>
              </w:rPr>
            </w:pPr>
            <w:r>
              <w:rPr>
                <w:sz w:val="14"/>
                <w:szCs w:val="16"/>
              </w:rPr>
              <w:t>6</w:t>
            </w:r>
          </w:p>
        </w:tc>
        <w:tc>
          <w:tcPr>
            <w:tcW w:w="544" w:type="dxa"/>
          </w:tcPr>
          <w:p w14:paraId="33C789B7">
            <w:pPr>
              <w:pStyle w:val="54"/>
              <w:rPr>
                <w:sz w:val="14"/>
                <w:szCs w:val="16"/>
              </w:rPr>
            </w:pPr>
            <w:r>
              <w:rPr>
                <w:sz w:val="14"/>
                <w:szCs w:val="16"/>
              </w:rPr>
              <w:t>7</w:t>
            </w:r>
          </w:p>
        </w:tc>
        <w:tc>
          <w:tcPr>
            <w:tcW w:w="544" w:type="dxa"/>
          </w:tcPr>
          <w:p w14:paraId="08FB08C7">
            <w:pPr>
              <w:pStyle w:val="54"/>
              <w:rPr>
                <w:sz w:val="14"/>
                <w:szCs w:val="16"/>
              </w:rPr>
            </w:pPr>
            <w:r>
              <w:rPr>
                <w:sz w:val="14"/>
                <w:szCs w:val="16"/>
              </w:rPr>
              <w:t>8</w:t>
            </w:r>
          </w:p>
        </w:tc>
        <w:tc>
          <w:tcPr>
            <w:tcW w:w="544" w:type="dxa"/>
          </w:tcPr>
          <w:p w14:paraId="218C5EDC">
            <w:pPr>
              <w:pStyle w:val="54"/>
              <w:rPr>
                <w:sz w:val="14"/>
                <w:szCs w:val="16"/>
              </w:rPr>
            </w:pPr>
            <w:r>
              <w:rPr>
                <w:sz w:val="14"/>
                <w:szCs w:val="16"/>
              </w:rPr>
              <w:t>9</w:t>
            </w:r>
          </w:p>
        </w:tc>
        <w:tc>
          <w:tcPr>
            <w:tcW w:w="615" w:type="dxa"/>
          </w:tcPr>
          <w:p w14:paraId="211FE9FA">
            <w:pPr>
              <w:pStyle w:val="54"/>
              <w:rPr>
                <w:sz w:val="14"/>
                <w:szCs w:val="16"/>
              </w:rPr>
            </w:pPr>
            <w:r>
              <w:rPr>
                <w:sz w:val="14"/>
                <w:szCs w:val="16"/>
              </w:rPr>
              <w:t>10</w:t>
            </w:r>
          </w:p>
        </w:tc>
        <w:tc>
          <w:tcPr>
            <w:tcW w:w="615" w:type="dxa"/>
          </w:tcPr>
          <w:p w14:paraId="605FDD4E">
            <w:pPr>
              <w:pStyle w:val="54"/>
              <w:rPr>
                <w:sz w:val="14"/>
                <w:szCs w:val="16"/>
              </w:rPr>
            </w:pPr>
            <w:r>
              <w:rPr>
                <w:sz w:val="14"/>
                <w:szCs w:val="16"/>
              </w:rPr>
              <w:t>11</w:t>
            </w:r>
          </w:p>
        </w:tc>
        <w:tc>
          <w:tcPr>
            <w:tcW w:w="615" w:type="dxa"/>
          </w:tcPr>
          <w:p w14:paraId="58B9F019">
            <w:pPr>
              <w:pStyle w:val="54"/>
              <w:rPr>
                <w:sz w:val="14"/>
                <w:szCs w:val="16"/>
              </w:rPr>
            </w:pPr>
            <w:r>
              <w:rPr>
                <w:sz w:val="14"/>
                <w:szCs w:val="16"/>
              </w:rPr>
              <w:t>12</w:t>
            </w:r>
          </w:p>
        </w:tc>
        <w:tc>
          <w:tcPr>
            <w:tcW w:w="615" w:type="dxa"/>
          </w:tcPr>
          <w:p w14:paraId="703CC519">
            <w:pPr>
              <w:pStyle w:val="54"/>
              <w:rPr>
                <w:sz w:val="14"/>
                <w:szCs w:val="16"/>
              </w:rPr>
            </w:pPr>
            <w:r>
              <w:rPr>
                <w:sz w:val="14"/>
                <w:szCs w:val="16"/>
              </w:rPr>
              <w:t>13</w:t>
            </w:r>
          </w:p>
        </w:tc>
        <w:tc>
          <w:tcPr>
            <w:tcW w:w="615" w:type="dxa"/>
          </w:tcPr>
          <w:p w14:paraId="66623E00">
            <w:pPr>
              <w:pStyle w:val="54"/>
              <w:rPr>
                <w:sz w:val="14"/>
                <w:szCs w:val="16"/>
              </w:rPr>
            </w:pPr>
            <w:r>
              <w:rPr>
                <w:sz w:val="14"/>
                <w:szCs w:val="16"/>
              </w:rPr>
              <w:t>14</w:t>
            </w:r>
          </w:p>
        </w:tc>
      </w:tr>
      <w:tr w14:paraId="65861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696" w:type="dxa"/>
          </w:tcPr>
          <w:p w14:paraId="06A86DBE">
            <w:pPr>
              <w:pStyle w:val="54"/>
              <w:rPr>
                <w:sz w:val="14"/>
                <w:szCs w:val="14"/>
              </w:rPr>
            </w:pPr>
            <w:r>
              <w:rPr>
                <w:sz w:val="14"/>
                <w:szCs w:val="14"/>
              </w:rPr>
              <w:t>#1</w:t>
            </w:r>
          </w:p>
        </w:tc>
        <w:tc>
          <w:tcPr>
            <w:tcW w:w="567" w:type="dxa"/>
          </w:tcPr>
          <w:p w14:paraId="0686CD72">
            <w:pPr>
              <w:pStyle w:val="55"/>
              <w:rPr>
                <w:sz w:val="14"/>
                <w:szCs w:val="14"/>
              </w:rPr>
            </w:pPr>
          </w:p>
        </w:tc>
        <w:tc>
          <w:tcPr>
            <w:tcW w:w="351" w:type="dxa"/>
          </w:tcPr>
          <w:p w14:paraId="7C844376">
            <w:pPr>
              <w:pStyle w:val="55"/>
              <w:rPr>
                <w:sz w:val="14"/>
                <w:szCs w:val="14"/>
              </w:rPr>
            </w:pPr>
          </w:p>
        </w:tc>
        <w:tc>
          <w:tcPr>
            <w:tcW w:w="542" w:type="dxa"/>
          </w:tcPr>
          <w:p w14:paraId="791CF6C8">
            <w:pPr>
              <w:pStyle w:val="55"/>
              <w:rPr>
                <w:sz w:val="14"/>
                <w:szCs w:val="14"/>
              </w:rPr>
            </w:pPr>
          </w:p>
        </w:tc>
        <w:tc>
          <w:tcPr>
            <w:tcW w:w="544" w:type="dxa"/>
          </w:tcPr>
          <w:p w14:paraId="67344CAB">
            <w:pPr>
              <w:pStyle w:val="55"/>
              <w:rPr>
                <w:sz w:val="14"/>
                <w:szCs w:val="14"/>
              </w:rPr>
            </w:pPr>
          </w:p>
        </w:tc>
        <w:tc>
          <w:tcPr>
            <w:tcW w:w="544" w:type="dxa"/>
          </w:tcPr>
          <w:p w14:paraId="5C6E1941">
            <w:pPr>
              <w:pStyle w:val="55"/>
              <w:rPr>
                <w:sz w:val="14"/>
                <w:szCs w:val="14"/>
              </w:rPr>
            </w:pPr>
          </w:p>
        </w:tc>
        <w:tc>
          <w:tcPr>
            <w:tcW w:w="544" w:type="dxa"/>
          </w:tcPr>
          <w:p w14:paraId="06CBCA5A">
            <w:pPr>
              <w:pStyle w:val="55"/>
              <w:rPr>
                <w:sz w:val="14"/>
                <w:szCs w:val="14"/>
              </w:rPr>
            </w:pPr>
          </w:p>
        </w:tc>
        <w:tc>
          <w:tcPr>
            <w:tcW w:w="544" w:type="dxa"/>
          </w:tcPr>
          <w:p w14:paraId="531E9C36">
            <w:pPr>
              <w:pStyle w:val="55"/>
              <w:rPr>
                <w:sz w:val="14"/>
                <w:szCs w:val="14"/>
              </w:rPr>
            </w:pPr>
          </w:p>
        </w:tc>
        <w:tc>
          <w:tcPr>
            <w:tcW w:w="544" w:type="dxa"/>
          </w:tcPr>
          <w:p w14:paraId="585BA253">
            <w:pPr>
              <w:pStyle w:val="55"/>
              <w:rPr>
                <w:sz w:val="14"/>
                <w:szCs w:val="14"/>
              </w:rPr>
            </w:pPr>
          </w:p>
        </w:tc>
        <w:tc>
          <w:tcPr>
            <w:tcW w:w="544" w:type="dxa"/>
          </w:tcPr>
          <w:p w14:paraId="4E6F3AC5">
            <w:pPr>
              <w:pStyle w:val="55"/>
              <w:rPr>
                <w:sz w:val="14"/>
                <w:szCs w:val="14"/>
              </w:rPr>
            </w:pPr>
          </w:p>
        </w:tc>
        <w:tc>
          <w:tcPr>
            <w:tcW w:w="615" w:type="dxa"/>
          </w:tcPr>
          <w:p w14:paraId="1C2E71A2">
            <w:pPr>
              <w:pStyle w:val="55"/>
              <w:rPr>
                <w:sz w:val="14"/>
                <w:szCs w:val="14"/>
              </w:rPr>
            </w:pPr>
          </w:p>
        </w:tc>
        <w:tc>
          <w:tcPr>
            <w:tcW w:w="615" w:type="dxa"/>
          </w:tcPr>
          <w:p w14:paraId="3CCA1411">
            <w:pPr>
              <w:pStyle w:val="55"/>
              <w:rPr>
                <w:sz w:val="14"/>
                <w:szCs w:val="14"/>
              </w:rPr>
            </w:pPr>
          </w:p>
        </w:tc>
        <w:tc>
          <w:tcPr>
            <w:tcW w:w="615" w:type="dxa"/>
          </w:tcPr>
          <w:p w14:paraId="2F709D34">
            <w:pPr>
              <w:pStyle w:val="55"/>
              <w:rPr>
                <w:sz w:val="14"/>
                <w:szCs w:val="14"/>
              </w:rPr>
            </w:pPr>
          </w:p>
        </w:tc>
        <w:tc>
          <w:tcPr>
            <w:tcW w:w="615" w:type="dxa"/>
          </w:tcPr>
          <w:p w14:paraId="0E4BA33E">
            <w:pPr>
              <w:pStyle w:val="55"/>
              <w:rPr>
                <w:sz w:val="14"/>
                <w:szCs w:val="14"/>
              </w:rPr>
            </w:pPr>
          </w:p>
        </w:tc>
        <w:tc>
          <w:tcPr>
            <w:tcW w:w="615" w:type="dxa"/>
          </w:tcPr>
          <w:p w14:paraId="06C242B7">
            <w:pPr>
              <w:pStyle w:val="55"/>
              <w:rPr>
                <w:sz w:val="14"/>
                <w:szCs w:val="14"/>
              </w:rPr>
            </w:pPr>
          </w:p>
        </w:tc>
      </w:tr>
      <w:tr w14:paraId="2F99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696" w:type="dxa"/>
          </w:tcPr>
          <w:p w14:paraId="64C6DBDD">
            <w:pPr>
              <w:pStyle w:val="54"/>
              <w:rPr>
                <w:sz w:val="14"/>
                <w:szCs w:val="14"/>
              </w:rPr>
            </w:pPr>
            <w:r>
              <w:rPr>
                <w:sz w:val="14"/>
                <w:szCs w:val="14"/>
              </w:rPr>
              <w:t xml:space="preserve">#2 </w:t>
            </w:r>
          </w:p>
        </w:tc>
        <w:tc>
          <w:tcPr>
            <w:tcW w:w="567" w:type="dxa"/>
          </w:tcPr>
          <w:p w14:paraId="3BED99B5">
            <w:pPr>
              <w:pStyle w:val="55"/>
              <w:rPr>
                <w:sz w:val="14"/>
                <w:szCs w:val="14"/>
              </w:rPr>
            </w:pPr>
          </w:p>
        </w:tc>
        <w:tc>
          <w:tcPr>
            <w:tcW w:w="351" w:type="dxa"/>
          </w:tcPr>
          <w:p w14:paraId="252E883A">
            <w:pPr>
              <w:pStyle w:val="55"/>
              <w:rPr>
                <w:sz w:val="14"/>
                <w:szCs w:val="14"/>
              </w:rPr>
            </w:pPr>
          </w:p>
        </w:tc>
        <w:tc>
          <w:tcPr>
            <w:tcW w:w="542" w:type="dxa"/>
          </w:tcPr>
          <w:p w14:paraId="052CD9E3">
            <w:pPr>
              <w:pStyle w:val="55"/>
              <w:rPr>
                <w:sz w:val="14"/>
                <w:szCs w:val="14"/>
              </w:rPr>
            </w:pPr>
          </w:p>
        </w:tc>
        <w:tc>
          <w:tcPr>
            <w:tcW w:w="544" w:type="dxa"/>
          </w:tcPr>
          <w:p w14:paraId="24AF9183">
            <w:pPr>
              <w:pStyle w:val="55"/>
              <w:rPr>
                <w:sz w:val="14"/>
                <w:szCs w:val="14"/>
              </w:rPr>
            </w:pPr>
          </w:p>
        </w:tc>
        <w:tc>
          <w:tcPr>
            <w:tcW w:w="544" w:type="dxa"/>
          </w:tcPr>
          <w:p w14:paraId="7E6E2355">
            <w:pPr>
              <w:pStyle w:val="55"/>
              <w:rPr>
                <w:sz w:val="14"/>
                <w:szCs w:val="14"/>
              </w:rPr>
            </w:pPr>
          </w:p>
        </w:tc>
        <w:tc>
          <w:tcPr>
            <w:tcW w:w="544" w:type="dxa"/>
          </w:tcPr>
          <w:p w14:paraId="624E5E6D">
            <w:pPr>
              <w:pStyle w:val="55"/>
              <w:rPr>
                <w:sz w:val="14"/>
                <w:szCs w:val="14"/>
              </w:rPr>
            </w:pPr>
          </w:p>
        </w:tc>
        <w:tc>
          <w:tcPr>
            <w:tcW w:w="544" w:type="dxa"/>
          </w:tcPr>
          <w:p w14:paraId="738960D3">
            <w:pPr>
              <w:pStyle w:val="55"/>
              <w:rPr>
                <w:sz w:val="14"/>
                <w:szCs w:val="14"/>
              </w:rPr>
            </w:pPr>
          </w:p>
        </w:tc>
        <w:tc>
          <w:tcPr>
            <w:tcW w:w="544" w:type="dxa"/>
          </w:tcPr>
          <w:p w14:paraId="785467B3">
            <w:pPr>
              <w:pStyle w:val="55"/>
              <w:rPr>
                <w:sz w:val="14"/>
                <w:szCs w:val="14"/>
              </w:rPr>
            </w:pPr>
          </w:p>
        </w:tc>
        <w:tc>
          <w:tcPr>
            <w:tcW w:w="544" w:type="dxa"/>
          </w:tcPr>
          <w:p w14:paraId="591B3157">
            <w:pPr>
              <w:pStyle w:val="55"/>
              <w:rPr>
                <w:sz w:val="14"/>
                <w:szCs w:val="14"/>
              </w:rPr>
            </w:pPr>
          </w:p>
        </w:tc>
        <w:tc>
          <w:tcPr>
            <w:tcW w:w="615" w:type="dxa"/>
          </w:tcPr>
          <w:p w14:paraId="0340C56E">
            <w:pPr>
              <w:pStyle w:val="55"/>
              <w:rPr>
                <w:sz w:val="14"/>
                <w:szCs w:val="14"/>
              </w:rPr>
            </w:pPr>
          </w:p>
        </w:tc>
        <w:tc>
          <w:tcPr>
            <w:tcW w:w="615" w:type="dxa"/>
          </w:tcPr>
          <w:p w14:paraId="66E2B2DF">
            <w:pPr>
              <w:pStyle w:val="55"/>
              <w:rPr>
                <w:sz w:val="14"/>
                <w:szCs w:val="14"/>
              </w:rPr>
            </w:pPr>
          </w:p>
        </w:tc>
        <w:tc>
          <w:tcPr>
            <w:tcW w:w="615" w:type="dxa"/>
          </w:tcPr>
          <w:p w14:paraId="21F511C6">
            <w:pPr>
              <w:pStyle w:val="55"/>
              <w:rPr>
                <w:sz w:val="14"/>
                <w:szCs w:val="14"/>
              </w:rPr>
            </w:pPr>
          </w:p>
        </w:tc>
        <w:tc>
          <w:tcPr>
            <w:tcW w:w="615" w:type="dxa"/>
          </w:tcPr>
          <w:p w14:paraId="51B78D9B">
            <w:pPr>
              <w:pStyle w:val="55"/>
              <w:rPr>
                <w:sz w:val="14"/>
                <w:szCs w:val="14"/>
              </w:rPr>
            </w:pPr>
          </w:p>
        </w:tc>
        <w:tc>
          <w:tcPr>
            <w:tcW w:w="615" w:type="dxa"/>
          </w:tcPr>
          <w:p w14:paraId="09C04163">
            <w:pPr>
              <w:pStyle w:val="55"/>
              <w:rPr>
                <w:sz w:val="14"/>
                <w:szCs w:val="14"/>
              </w:rPr>
            </w:pPr>
          </w:p>
        </w:tc>
      </w:tr>
      <w:tr w14:paraId="7D75A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696" w:type="dxa"/>
          </w:tcPr>
          <w:p w14:paraId="22F13CE1">
            <w:pPr>
              <w:pStyle w:val="54"/>
              <w:rPr>
                <w:sz w:val="14"/>
                <w:szCs w:val="14"/>
              </w:rPr>
            </w:pPr>
            <w:r>
              <w:rPr>
                <w:sz w:val="14"/>
                <w:szCs w:val="14"/>
              </w:rPr>
              <w:t xml:space="preserve">#3 </w:t>
            </w:r>
          </w:p>
        </w:tc>
        <w:tc>
          <w:tcPr>
            <w:tcW w:w="567" w:type="dxa"/>
          </w:tcPr>
          <w:p w14:paraId="1BB93D83">
            <w:pPr>
              <w:pStyle w:val="55"/>
              <w:rPr>
                <w:sz w:val="14"/>
                <w:szCs w:val="14"/>
              </w:rPr>
            </w:pPr>
          </w:p>
        </w:tc>
        <w:tc>
          <w:tcPr>
            <w:tcW w:w="351" w:type="dxa"/>
          </w:tcPr>
          <w:p w14:paraId="2C797FCA">
            <w:pPr>
              <w:pStyle w:val="55"/>
              <w:rPr>
                <w:sz w:val="14"/>
                <w:szCs w:val="14"/>
              </w:rPr>
            </w:pPr>
          </w:p>
        </w:tc>
        <w:tc>
          <w:tcPr>
            <w:tcW w:w="542" w:type="dxa"/>
          </w:tcPr>
          <w:p w14:paraId="4C2840DF">
            <w:pPr>
              <w:pStyle w:val="55"/>
              <w:rPr>
                <w:sz w:val="14"/>
                <w:szCs w:val="14"/>
              </w:rPr>
            </w:pPr>
          </w:p>
        </w:tc>
        <w:tc>
          <w:tcPr>
            <w:tcW w:w="544" w:type="dxa"/>
          </w:tcPr>
          <w:p w14:paraId="3F4D98B5">
            <w:pPr>
              <w:pStyle w:val="55"/>
              <w:rPr>
                <w:sz w:val="14"/>
                <w:szCs w:val="14"/>
              </w:rPr>
            </w:pPr>
          </w:p>
        </w:tc>
        <w:tc>
          <w:tcPr>
            <w:tcW w:w="544" w:type="dxa"/>
          </w:tcPr>
          <w:p w14:paraId="1EE82E99">
            <w:pPr>
              <w:pStyle w:val="55"/>
              <w:rPr>
                <w:sz w:val="14"/>
                <w:szCs w:val="14"/>
              </w:rPr>
            </w:pPr>
          </w:p>
        </w:tc>
        <w:tc>
          <w:tcPr>
            <w:tcW w:w="544" w:type="dxa"/>
          </w:tcPr>
          <w:p w14:paraId="4C506B10">
            <w:pPr>
              <w:pStyle w:val="55"/>
              <w:rPr>
                <w:sz w:val="14"/>
                <w:szCs w:val="14"/>
              </w:rPr>
            </w:pPr>
          </w:p>
        </w:tc>
        <w:tc>
          <w:tcPr>
            <w:tcW w:w="544" w:type="dxa"/>
          </w:tcPr>
          <w:p w14:paraId="44282997">
            <w:pPr>
              <w:pStyle w:val="55"/>
              <w:rPr>
                <w:sz w:val="14"/>
                <w:szCs w:val="14"/>
              </w:rPr>
            </w:pPr>
          </w:p>
        </w:tc>
        <w:tc>
          <w:tcPr>
            <w:tcW w:w="544" w:type="dxa"/>
          </w:tcPr>
          <w:p w14:paraId="53D06B75">
            <w:pPr>
              <w:pStyle w:val="55"/>
              <w:rPr>
                <w:sz w:val="14"/>
                <w:szCs w:val="14"/>
              </w:rPr>
            </w:pPr>
          </w:p>
        </w:tc>
        <w:tc>
          <w:tcPr>
            <w:tcW w:w="544" w:type="dxa"/>
          </w:tcPr>
          <w:p w14:paraId="7DB74D07">
            <w:pPr>
              <w:pStyle w:val="55"/>
              <w:rPr>
                <w:sz w:val="14"/>
                <w:szCs w:val="14"/>
              </w:rPr>
            </w:pPr>
          </w:p>
        </w:tc>
        <w:tc>
          <w:tcPr>
            <w:tcW w:w="615" w:type="dxa"/>
          </w:tcPr>
          <w:p w14:paraId="7C130A76">
            <w:pPr>
              <w:pStyle w:val="55"/>
              <w:rPr>
                <w:sz w:val="14"/>
                <w:szCs w:val="14"/>
              </w:rPr>
            </w:pPr>
          </w:p>
        </w:tc>
        <w:tc>
          <w:tcPr>
            <w:tcW w:w="615" w:type="dxa"/>
          </w:tcPr>
          <w:p w14:paraId="01855A11">
            <w:pPr>
              <w:pStyle w:val="55"/>
              <w:rPr>
                <w:sz w:val="14"/>
                <w:szCs w:val="14"/>
              </w:rPr>
            </w:pPr>
          </w:p>
        </w:tc>
        <w:tc>
          <w:tcPr>
            <w:tcW w:w="615" w:type="dxa"/>
          </w:tcPr>
          <w:p w14:paraId="73DCE1C4">
            <w:pPr>
              <w:pStyle w:val="55"/>
              <w:rPr>
                <w:sz w:val="14"/>
                <w:szCs w:val="14"/>
              </w:rPr>
            </w:pPr>
          </w:p>
        </w:tc>
        <w:tc>
          <w:tcPr>
            <w:tcW w:w="615" w:type="dxa"/>
          </w:tcPr>
          <w:p w14:paraId="7BCE00C1">
            <w:pPr>
              <w:pStyle w:val="55"/>
              <w:rPr>
                <w:sz w:val="14"/>
                <w:szCs w:val="14"/>
              </w:rPr>
            </w:pPr>
          </w:p>
        </w:tc>
        <w:tc>
          <w:tcPr>
            <w:tcW w:w="615" w:type="dxa"/>
          </w:tcPr>
          <w:p w14:paraId="28FFEEB7">
            <w:pPr>
              <w:pStyle w:val="55"/>
              <w:rPr>
                <w:sz w:val="14"/>
                <w:szCs w:val="14"/>
              </w:rPr>
            </w:pPr>
          </w:p>
        </w:tc>
      </w:tr>
    </w:tbl>
    <w:p w14:paraId="267C01D8"/>
    <w:p w14:paraId="7E5F91B5">
      <w:pPr>
        <w:pStyle w:val="2"/>
      </w:pPr>
      <w:r>
        <w:t>A.2</w:t>
      </w:r>
      <w:r>
        <w:tab/>
      </w:r>
      <w:r>
        <w:t>Mapping between Key Issues and Solutions</w:t>
      </w:r>
    </w:p>
    <w:p w14:paraId="3365CF94">
      <w:pPr>
        <w:pStyle w:val="58"/>
        <w:rPr>
          <w:rFonts w:eastAsiaTheme="minorEastAsia"/>
        </w:rPr>
      </w:pPr>
      <w:r>
        <w:rPr>
          <w:rFonts w:eastAsiaTheme="minorEastAsia"/>
        </w:rPr>
        <w:t>Table A.3-1: Mapping of Solutions to Key Issues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787"/>
        <w:gridCol w:w="457"/>
        <w:gridCol w:w="430"/>
        <w:gridCol w:w="431"/>
        <w:gridCol w:w="431"/>
        <w:gridCol w:w="431"/>
        <w:gridCol w:w="431"/>
        <w:gridCol w:w="432"/>
        <w:gridCol w:w="433"/>
        <w:gridCol w:w="433"/>
        <w:gridCol w:w="433"/>
        <w:gridCol w:w="433"/>
        <w:gridCol w:w="433"/>
        <w:gridCol w:w="433"/>
        <w:gridCol w:w="433"/>
        <w:gridCol w:w="433"/>
        <w:gridCol w:w="433"/>
        <w:gridCol w:w="433"/>
        <w:gridCol w:w="433"/>
      </w:tblGrid>
      <w:tr w14:paraId="1934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restart"/>
            <w:tcBorders>
              <w:top w:val="single" w:color="auto" w:sz="4" w:space="0"/>
              <w:left w:val="single" w:color="auto" w:sz="4" w:space="0"/>
              <w:right w:val="single" w:color="auto" w:sz="4" w:space="0"/>
            </w:tcBorders>
          </w:tcPr>
          <w:p w14:paraId="63D9404C">
            <w:pPr>
              <w:pStyle w:val="54"/>
              <w:rPr>
                <w:rFonts w:eastAsia="等线"/>
                <w:lang w:eastAsia="zh-CN"/>
              </w:rPr>
            </w:pPr>
            <w:r>
              <w:rPr>
                <w:rFonts w:eastAsia="等线"/>
                <w:lang w:eastAsia="zh-CN"/>
              </w:rPr>
              <w:t>Solutions</w:t>
            </w:r>
          </w:p>
        </w:tc>
        <w:tc>
          <w:tcPr>
            <w:tcW w:w="8593" w:type="dxa"/>
            <w:gridSpan w:val="19"/>
            <w:tcBorders>
              <w:top w:val="single" w:color="auto" w:sz="4" w:space="0"/>
              <w:left w:val="single" w:color="auto" w:sz="4" w:space="0"/>
              <w:bottom w:val="single" w:color="auto" w:sz="4" w:space="0"/>
              <w:right w:val="single" w:color="auto" w:sz="4" w:space="0"/>
            </w:tcBorders>
          </w:tcPr>
          <w:p w14:paraId="20849427">
            <w:pPr>
              <w:pStyle w:val="54"/>
              <w:rPr>
                <w:rFonts w:eastAsia="等线"/>
                <w:lang w:eastAsia="zh-CN"/>
              </w:rPr>
            </w:pPr>
            <w:r>
              <w:rPr>
                <w:rFonts w:eastAsia="等线"/>
                <w:lang w:eastAsia="zh-CN"/>
              </w:rPr>
              <w:t>Key Issues</w:t>
            </w:r>
          </w:p>
        </w:tc>
      </w:tr>
      <w:tr w14:paraId="5A18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vMerge w:val="continue"/>
            <w:tcBorders>
              <w:left w:val="single" w:color="auto" w:sz="4" w:space="0"/>
              <w:bottom w:val="single" w:color="auto" w:sz="4" w:space="0"/>
              <w:right w:val="single" w:color="auto" w:sz="4" w:space="0"/>
            </w:tcBorders>
          </w:tcPr>
          <w:p w14:paraId="0B9D480B">
            <w:pPr>
              <w:pStyle w:val="54"/>
              <w:rPr>
                <w:rFonts w:eastAsia="等线"/>
                <w:lang w:eastAsia="zh-CN"/>
              </w:rPr>
            </w:pPr>
          </w:p>
        </w:tc>
        <w:tc>
          <w:tcPr>
            <w:tcW w:w="787" w:type="dxa"/>
            <w:tcBorders>
              <w:top w:val="single" w:color="auto" w:sz="4" w:space="0"/>
              <w:left w:val="single" w:color="auto" w:sz="4" w:space="0"/>
              <w:bottom w:val="single" w:color="auto" w:sz="4" w:space="0"/>
              <w:right w:val="single" w:color="auto" w:sz="4" w:space="0"/>
            </w:tcBorders>
          </w:tcPr>
          <w:p w14:paraId="2BE17449">
            <w:pPr>
              <w:pStyle w:val="54"/>
              <w:rPr>
                <w:rFonts w:eastAsia="等线"/>
                <w:lang w:eastAsia="zh-CN"/>
              </w:rPr>
            </w:pPr>
            <w:r>
              <w:rPr>
                <w:rFonts w:eastAsia="等线"/>
                <w:lang w:eastAsia="zh-CN"/>
              </w:rPr>
              <w:t>#P</w:t>
            </w:r>
          </w:p>
        </w:tc>
        <w:tc>
          <w:tcPr>
            <w:tcW w:w="457" w:type="dxa"/>
            <w:tcBorders>
              <w:top w:val="single" w:color="auto" w:sz="4" w:space="0"/>
              <w:left w:val="single" w:color="auto" w:sz="4" w:space="0"/>
              <w:bottom w:val="single" w:color="auto" w:sz="4" w:space="0"/>
              <w:right w:val="single" w:color="auto" w:sz="4" w:space="0"/>
            </w:tcBorders>
          </w:tcPr>
          <w:p w14:paraId="0336E765">
            <w:pPr>
              <w:pStyle w:val="54"/>
              <w:rPr>
                <w:rFonts w:eastAsia="等线"/>
                <w:lang w:eastAsia="zh-CN"/>
              </w:rPr>
            </w:pPr>
            <w:r>
              <w:rPr>
                <w:rFonts w:eastAsia="等线"/>
                <w:lang w:eastAsia="zh-CN"/>
              </w:rPr>
              <w:t>#Q</w:t>
            </w:r>
          </w:p>
        </w:tc>
        <w:tc>
          <w:tcPr>
            <w:tcW w:w="430" w:type="dxa"/>
            <w:tcBorders>
              <w:top w:val="single" w:color="auto" w:sz="4" w:space="0"/>
              <w:left w:val="single" w:color="auto" w:sz="4" w:space="0"/>
              <w:bottom w:val="single" w:color="auto" w:sz="4" w:space="0"/>
              <w:right w:val="single" w:color="auto" w:sz="4" w:space="0"/>
            </w:tcBorders>
          </w:tcPr>
          <w:p w14:paraId="6C57BD1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FF2747">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2B79E">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0E9B06BD">
            <w:pPr>
              <w:pStyle w:val="54"/>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5E2812">
            <w:pPr>
              <w:pStyle w:val="54"/>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73342935">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31DBB09">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9D0796">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38CBA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AE89391">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71DE5E">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66C9AF0">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F80940B">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2BC664D">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AD7EEC">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AEB139A">
            <w:pPr>
              <w:pStyle w:val="54"/>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75BDC21">
            <w:pPr>
              <w:pStyle w:val="54"/>
              <w:rPr>
                <w:rFonts w:eastAsia="等线"/>
                <w:lang w:eastAsia="zh-CN"/>
              </w:rPr>
            </w:pPr>
          </w:p>
        </w:tc>
      </w:tr>
      <w:tr w14:paraId="3CB61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7EF28CF9">
            <w:pPr>
              <w:pStyle w:val="54"/>
              <w:rPr>
                <w:rFonts w:eastAsia="等线"/>
                <w:lang w:eastAsia="zh-CN"/>
              </w:rPr>
            </w:pPr>
            <w:r>
              <w:rPr>
                <w:rFonts w:eastAsia="等线"/>
                <w:lang w:eastAsia="zh-CN"/>
              </w:rPr>
              <w:t>#X</w:t>
            </w:r>
          </w:p>
        </w:tc>
        <w:tc>
          <w:tcPr>
            <w:tcW w:w="787" w:type="dxa"/>
            <w:tcBorders>
              <w:top w:val="single" w:color="auto" w:sz="4" w:space="0"/>
              <w:left w:val="single" w:color="auto" w:sz="4" w:space="0"/>
              <w:bottom w:val="single" w:color="auto" w:sz="4" w:space="0"/>
              <w:right w:val="single" w:color="auto" w:sz="4" w:space="0"/>
            </w:tcBorders>
          </w:tcPr>
          <w:p w14:paraId="3A171F66">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241C581C">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6E6CEBA8">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39982CA">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33B7BD7">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6C0AB5A1">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1E6C91D">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3DBE3F7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695A1A8">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567734F">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1CBF904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0E503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4C27AA04">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8B22E1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9F5C5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AA60E4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F7DCA9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7D23A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71B486C">
            <w:pPr>
              <w:pStyle w:val="55"/>
              <w:rPr>
                <w:rFonts w:eastAsia="等线"/>
                <w:lang w:eastAsia="zh-CN"/>
              </w:rPr>
            </w:pPr>
          </w:p>
        </w:tc>
      </w:tr>
      <w:tr w14:paraId="4DB3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dxa"/>
            <w:tcBorders>
              <w:top w:val="single" w:color="auto" w:sz="4" w:space="0"/>
              <w:left w:val="single" w:color="auto" w:sz="4" w:space="0"/>
              <w:bottom w:val="single" w:color="auto" w:sz="4" w:space="0"/>
              <w:right w:val="single" w:color="auto" w:sz="4" w:space="0"/>
            </w:tcBorders>
          </w:tcPr>
          <w:p w14:paraId="319FD8F1">
            <w:pPr>
              <w:pStyle w:val="54"/>
              <w:rPr>
                <w:rFonts w:eastAsia="等线"/>
                <w:lang w:eastAsia="zh-CN"/>
              </w:rPr>
            </w:pPr>
            <w:r>
              <w:rPr>
                <w:rFonts w:eastAsia="等线"/>
                <w:lang w:eastAsia="zh-CN"/>
              </w:rPr>
              <w:t>#Y</w:t>
            </w:r>
          </w:p>
        </w:tc>
        <w:tc>
          <w:tcPr>
            <w:tcW w:w="787" w:type="dxa"/>
            <w:tcBorders>
              <w:top w:val="single" w:color="auto" w:sz="4" w:space="0"/>
              <w:left w:val="single" w:color="auto" w:sz="4" w:space="0"/>
              <w:bottom w:val="single" w:color="auto" w:sz="4" w:space="0"/>
              <w:right w:val="single" w:color="auto" w:sz="4" w:space="0"/>
            </w:tcBorders>
          </w:tcPr>
          <w:p w14:paraId="5C526400">
            <w:pPr>
              <w:pStyle w:val="55"/>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5FD334A8">
            <w:pPr>
              <w:pStyle w:val="55"/>
              <w:rPr>
                <w:rFonts w:eastAsia="等线"/>
                <w:lang w:eastAsia="zh-CN"/>
              </w:rPr>
            </w:pPr>
          </w:p>
        </w:tc>
        <w:tc>
          <w:tcPr>
            <w:tcW w:w="430" w:type="dxa"/>
            <w:tcBorders>
              <w:top w:val="single" w:color="auto" w:sz="4" w:space="0"/>
              <w:left w:val="single" w:color="auto" w:sz="4" w:space="0"/>
              <w:bottom w:val="single" w:color="auto" w:sz="4" w:space="0"/>
              <w:right w:val="single" w:color="auto" w:sz="4" w:space="0"/>
            </w:tcBorders>
          </w:tcPr>
          <w:p w14:paraId="4497F702">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14EBE9BC">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39729B40">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7CBACACD">
            <w:pPr>
              <w:pStyle w:val="55"/>
              <w:rPr>
                <w:rFonts w:eastAsia="等线"/>
                <w:lang w:eastAsia="zh-CN"/>
              </w:rPr>
            </w:pPr>
          </w:p>
        </w:tc>
        <w:tc>
          <w:tcPr>
            <w:tcW w:w="431" w:type="dxa"/>
            <w:tcBorders>
              <w:top w:val="single" w:color="auto" w:sz="4" w:space="0"/>
              <w:left w:val="single" w:color="auto" w:sz="4" w:space="0"/>
              <w:bottom w:val="single" w:color="auto" w:sz="4" w:space="0"/>
              <w:right w:val="single" w:color="auto" w:sz="4" w:space="0"/>
            </w:tcBorders>
          </w:tcPr>
          <w:p w14:paraId="25031189">
            <w:pPr>
              <w:pStyle w:val="55"/>
              <w:rPr>
                <w:rFonts w:eastAsia="等线"/>
                <w:lang w:eastAsia="zh-CN"/>
              </w:rPr>
            </w:pPr>
          </w:p>
        </w:tc>
        <w:tc>
          <w:tcPr>
            <w:tcW w:w="432" w:type="dxa"/>
            <w:tcBorders>
              <w:top w:val="single" w:color="auto" w:sz="4" w:space="0"/>
              <w:left w:val="single" w:color="auto" w:sz="4" w:space="0"/>
              <w:bottom w:val="single" w:color="auto" w:sz="4" w:space="0"/>
              <w:right w:val="single" w:color="auto" w:sz="4" w:space="0"/>
            </w:tcBorders>
          </w:tcPr>
          <w:p w14:paraId="01C4806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A7DA0EA">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0931A2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565E7520">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00C0205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5A4BF81">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7C53B045">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19E4EC3">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14066E2">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3EB7AFFD">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27E7461E">
            <w:pPr>
              <w:pStyle w:val="55"/>
              <w:rPr>
                <w:rFonts w:eastAsia="等线"/>
                <w:lang w:eastAsia="zh-CN"/>
              </w:rPr>
            </w:pPr>
          </w:p>
        </w:tc>
        <w:tc>
          <w:tcPr>
            <w:tcW w:w="433" w:type="dxa"/>
            <w:tcBorders>
              <w:top w:val="single" w:color="auto" w:sz="4" w:space="0"/>
              <w:left w:val="single" w:color="auto" w:sz="4" w:space="0"/>
              <w:bottom w:val="single" w:color="auto" w:sz="4" w:space="0"/>
              <w:right w:val="single" w:color="auto" w:sz="4" w:space="0"/>
            </w:tcBorders>
          </w:tcPr>
          <w:p w14:paraId="6E79B221">
            <w:pPr>
              <w:pStyle w:val="55"/>
              <w:rPr>
                <w:rFonts w:eastAsia="等线"/>
                <w:lang w:eastAsia="zh-CN"/>
              </w:rPr>
            </w:pPr>
          </w:p>
        </w:tc>
      </w:tr>
    </w:tbl>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555112"/>
    <w:multiLevelType w:val="singleLevel"/>
    <w:tmpl w:val="D355511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B0C2F"/>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1FD2"/>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91193"/>
    <w:rsid w:val="02034E23"/>
    <w:rsid w:val="021B0EF2"/>
    <w:rsid w:val="02341E39"/>
    <w:rsid w:val="02C34085"/>
    <w:rsid w:val="02FC1AC3"/>
    <w:rsid w:val="03E66A74"/>
    <w:rsid w:val="0458580D"/>
    <w:rsid w:val="04CD3654"/>
    <w:rsid w:val="073267E9"/>
    <w:rsid w:val="07B53F8A"/>
    <w:rsid w:val="07DF1CB8"/>
    <w:rsid w:val="084D5F4D"/>
    <w:rsid w:val="088E0696"/>
    <w:rsid w:val="08B63DD9"/>
    <w:rsid w:val="08CA4C78"/>
    <w:rsid w:val="08DD4B2A"/>
    <w:rsid w:val="09246501"/>
    <w:rsid w:val="09575C4D"/>
    <w:rsid w:val="09993220"/>
    <w:rsid w:val="09A8018A"/>
    <w:rsid w:val="09D516AE"/>
    <w:rsid w:val="0A2569C5"/>
    <w:rsid w:val="0A4A6F54"/>
    <w:rsid w:val="0B17311C"/>
    <w:rsid w:val="0B250BAE"/>
    <w:rsid w:val="0B8F0122"/>
    <w:rsid w:val="0BA076AD"/>
    <w:rsid w:val="0BC70F46"/>
    <w:rsid w:val="0BCD5941"/>
    <w:rsid w:val="0CEE0245"/>
    <w:rsid w:val="0D003464"/>
    <w:rsid w:val="0D576FA9"/>
    <w:rsid w:val="0DEB68E4"/>
    <w:rsid w:val="0DF86616"/>
    <w:rsid w:val="0E041A0C"/>
    <w:rsid w:val="0E062050"/>
    <w:rsid w:val="0E3746E5"/>
    <w:rsid w:val="0E456E02"/>
    <w:rsid w:val="0E907072"/>
    <w:rsid w:val="0EB96FB0"/>
    <w:rsid w:val="0ED07E5C"/>
    <w:rsid w:val="0F044E32"/>
    <w:rsid w:val="0F4A5BA4"/>
    <w:rsid w:val="0FE148D9"/>
    <w:rsid w:val="0FF77685"/>
    <w:rsid w:val="101D7AFE"/>
    <w:rsid w:val="106A208B"/>
    <w:rsid w:val="107A1F72"/>
    <w:rsid w:val="1090155C"/>
    <w:rsid w:val="112E6EBB"/>
    <w:rsid w:val="118956E7"/>
    <w:rsid w:val="11B24841"/>
    <w:rsid w:val="11EC522D"/>
    <w:rsid w:val="11F70688"/>
    <w:rsid w:val="12394975"/>
    <w:rsid w:val="1295728D"/>
    <w:rsid w:val="13725976"/>
    <w:rsid w:val="1373053C"/>
    <w:rsid w:val="1388456C"/>
    <w:rsid w:val="13A670CA"/>
    <w:rsid w:val="14A26281"/>
    <w:rsid w:val="15024C97"/>
    <w:rsid w:val="153041A6"/>
    <w:rsid w:val="15523360"/>
    <w:rsid w:val="15A00DC2"/>
    <w:rsid w:val="16AA4D6D"/>
    <w:rsid w:val="17221443"/>
    <w:rsid w:val="177E21A4"/>
    <w:rsid w:val="1796247C"/>
    <w:rsid w:val="17CC31F4"/>
    <w:rsid w:val="17DD0A7A"/>
    <w:rsid w:val="18CE6E17"/>
    <w:rsid w:val="19341F4D"/>
    <w:rsid w:val="195F7C30"/>
    <w:rsid w:val="198E19EC"/>
    <w:rsid w:val="19F5000A"/>
    <w:rsid w:val="1A0D324C"/>
    <w:rsid w:val="1AD11A1D"/>
    <w:rsid w:val="1B495788"/>
    <w:rsid w:val="1BDB2542"/>
    <w:rsid w:val="1BF451CD"/>
    <w:rsid w:val="1C091D8D"/>
    <w:rsid w:val="1CBD3C6A"/>
    <w:rsid w:val="1CD35F20"/>
    <w:rsid w:val="1CF57A8F"/>
    <w:rsid w:val="1D1125BF"/>
    <w:rsid w:val="1D222970"/>
    <w:rsid w:val="1D756C35"/>
    <w:rsid w:val="1D806164"/>
    <w:rsid w:val="1D854F62"/>
    <w:rsid w:val="1D8E0577"/>
    <w:rsid w:val="1E1B2A71"/>
    <w:rsid w:val="1E652BA8"/>
    <w:rsid w:val="1E72493D"/>
    <w:rsid w:val="1E7A4110"/>
    <w:rsid w:val="1E8B62E2"/>
    <w:rsid w:val="1E9D1640"/>
    <w:rsid w:val="1EF83782"/>
    <w:rsid w:val="1F0771F7"/>
    <w:rsid w:val="1F212DDF"/>
    <w:rsid w:val="1FD72DA6"/>
    <w:rsid w:val="1FF535FC"/>
    <w:rsid w:val="20016E9F"/>
    <w:rsid w:val="207728D1"/>
    <w:rsid w:val="20D234E6"/>
    <w:rsid w:val="20D73BEF"/>
    <w:rsid w:val="20EA1769"/>
    <w:rsid w:val="21020D02"/>
    <w:rsid w:val="211D4EF1"/>
    <w:rsid w:val="2124626D"/>
    <w:rsid w:val="216827F1"/>
    <w:rsid w:val="21B6105F"/>
    <w:rsid w:val="22213365"/>
    <w:rsid w:val="228B3C2A"/>
    <w:rsid w:val="237F470C"/>
    <w:rsid w:val="247B506A"/>
    <w:rsid w:val="24950333"/>
    <w:rsid w:val="25C96306"/>
    <w:rsid w:val="262C38EB"/>
    <w:rsid w:val="2690611C"/>
    <w:rsid w:val="26AF453E"/>
    <w:rsid w:val="26B12C2C"/>
    <w:rsid w:val="26B63CA1"/>
    <w:rsid w:val="26F61EFB"/>
    <w:rsid w:val="27435A51"/>
    <w:rsid w:val="27747CB6"/>
    <w:rsid w:val="27775CC4"/>
    <w:rsid w:val="279C5438"/>
    <w:rsid w:val="27A20A97"/>
    <w:rsid w:val="289406A2"/>
    <w:rsid w:val="290E23A4"/>
    <w:rsid w:val="294A397A"/>
    <w:rsid w:val="298F3DBD"/>
    <w:rsid w:val="29975559"/>
    <w:rsid w:val="29ED4157"/>
    <w:rsid w:val="29FB5DB9"/>
    <w:rsid w:val="2A574444"/>
    <w:rsid w:val="2AA24C88"/>
    <w:rsid w:val="2B044D71"/>
    <w:rsid w:val="2B1E12BC"/>
    <w:rsid w:val="2B225799"/>
    <w:rsid w:val="2B4F7D3E"/>
    <w:rsid w:val="2B552424"/>
    <w:rsid w:val="2BBB56F6"/>
    <w:rsid w:val="2C5A1CD2"/>
    <w:rsid w:val="2C602447"/>
    <w:rsid w:val="2C9A34F8"/>
    <w:rsid w:val="2CFD6DC0"/>
    <w:rsid w:val="2D303EC8"/>
    <w:rsid w:val="2D382D71"/>
    <w:rsid w:val="2E13000A"/>
    <w:rsid w:val="2E1B70E9"/>
    <w:rsid w:val="2E32151A"/>
    <w:rsid w:val="2E517468"/>
    <w:rsid w:val="2F171C9D"/>
    <w:rsid w:val="2F3F6D74"/>
    <w:rsid w:val="2F4A23A5"/>
    <w:rsid w:val="30340BF5"/>
    <w:rsid w:val="304D1306"/>
    <w:rsid w:val="308333A6"/>
    <w:rsid w:val="30A3673F"/>
    <w:rsid w:val="31045716"/>
    <w:rsid w:val="317C5C8C"/>
    <w:rsid w:val="31837ABD"/>
    <w:rsid w:val="318F7BD4"/>
    <w:rsid w:val="31C439B2"/>
    <w:rsid w:val="321C75E9"/>
    <w:rsid w:val="327C0C9B"/>
    <w:rsid w:val="345927BC"/>
    <w:rsid w:val="347325C0"/>
    <w:rsid w:val="349E40E0"/>
    <w:rsid w:val="34AC731F"/>
    <w:rsid w:val="34B064B9"/>
    <w:rsid w:val="34E53962"/>
    <w:rsid w:val="351C27B0"/>
    <w:rsid w:val="352C3FC8"/>
    <w:rsid w:val="354A0A39"/>
    <w:rsid w:val="357069B7"/>
    <w:rsid w:val="357B0318"/>
    <w:rsid w:val="35824E60"/>
    <w:rsid w:val="360A0D3D"/>
    <w:rsid w:val="36E51995"/>
    <w:rsid w:val="37086AD8"/>
    <w:rsid w:val="37266088"/>
    <w:rsid w:val="37490E61"/>
    <w:rsid w:val="374B1CF6"/>
    <w:rsid w:val="3764396F"/>
    <w:rsid w:val="37F479DA"/>
    <w:rsid w:val="38026CF0"/>
    <w:rsid w:val="38C116AD"/>
    <w:rsid w:val="38EF5674"/>
    <w:rsid w:val="393E0C76"/>
    <w:rsid w:val="39D6666B"/>
    <w:rsid w:val="39E12011"/>
    <w:rsid w:val="3A6724BC"/>
    <w:rsid w:val="3A751FF8"/>
    <w:rsid w:val="3ADF083A"/>
    <w:rsid w:val="3B1B48C3"/>
    <w:rsid w:val="3B344A3C"/>
    <w:rsid w:val="3B457E45"/>
    <w:rsid w:val="3B555A2E"/>
    <w:rsid w:val="3C4E0CC8"/>
    <w:rsid w:val="3C66685A"/>
    <w:rsid w:val="3C75071A"/>
    <w:rsid w:val="3CE73FFB"/>
    <w:rsid w:val="3CEA3F3E"/>
    <w:rsid w:val="3D4C5F1D"/>
    <w:rsid w:val="3D9D02A6"/>
    <w:rsid w:val="3E1A79F2"/>
    <w:rsid w:val="3EC20000"/>
    <w:rsid w:val="3F246E28"/>
    <w:rsid w:val="3F2665DB"/>
    <w:rsid w:val="3F855340"/>
    <w:rsid w:val="3FA6711C"/>
    <w:rsid w:val="40F62955"/>
    <w:rsid w:val="41A832C4"/>
    <w:rsid w:val="42406AE6"/>
    <w:rsid w:val="429D0359"/>
    <w:rsid w:val="44126C12"/>
    <w:rsid w:val="44AD6911"/>
    <w:rsid w:val="454937BA"/>
    <w:rsid w:val="4564347D"/>
    <w:rsid w:val="456C1863"/>
    <w:rsid w:val="45C72144"/>
    <w:rsid w:val="45E45D6C"/>
    <w:rsid w:val="4603066A"/>
    <w:rsid w:val="46942157"/>
    <w:rsid w:val="46F53476"/>
    <w:rsid w:val="472707CD"/>
    <w:rsid w:val="47412287"/>
    <w:rsid w:val="475B1994"/>
    <w:rsid w:val="475D292F"/>
    <w:rsid w:val="47800E5B"/>
    <w:rsid w:val="47CD093E"/>
    <w:rsid w:val="481E765C"/>
    <w:rsid w:val="483754A4"/>
    <w:rsid w:val="48B732C5"/>
    <w:rsid w:val="48FB1A87"/>
    <w:rsid w:val="494278AB"/>
    <w:rsid w:val="49635A3D"/>
    <w:rsid w:val="4A6F152E"/>
    <w:rsid w:val="4A8C7838"/>
    <w:rsid w:val="4ABD76A3"/>
    <w:rsid w:val="4B451499"/>
    <w:rsid w:val="4BD56877"/>
    <w:rsid w:val="4C143DDD"/>
    <w:rsid w:val="4CAB258D"/>
    <w:rsid w:val="4CB074DF"/>
    <w:rsid w:val="4CDB5DA5"/>
    <w:rsid w:val="4D23575F"/>
    <w:rsid w:val="4D2F3A60"/>
    <w:rsid w:val="4D834470"/>
    <w:rsid w:val="4D8D144B"/>
    <w:rsid w:val="4DA954F8"/>
    <w:rsid w:val="4DC849DA"/>
    <w:rsid w:val="4F391765"/>
    <w:rsid w:val="4F45257C"/>
    <w:rsid w:val="4F6B78DB"/>
    <w:rsid w:val="4F8B0945"/>
    <w:rsid w:val="4FE528A4"/>
    <w:rsid w:val="500A39DE"/>
    <w:rsid w:val="50A64873"/>
    <w:rsid w:val="50B15470"/>
    <w:rsid w:val="50DB3AEE"/>
    <w:rsid w:val="513F61A5"/>
    <w:rsid w:val="51CB0999"/>
    <w:rsid w:val="52232583"/>
    <w:rsid w:val="52B85BC6"/>
    <w:rsid w:val="52DC127D"/>
    <w:rsid w:val="53351110"/>
    <w:rsid w:val="534F3992"/>
    <w:rsid w:val="535A0236"/>
    <w:rsid w:val="535F1F4D"/>
    <w:rsid w:val="54F85E13"/>
    <w:rsid w:val="550259DF"/>
    <w:rsid w:val="55AF2A84"/>
    <w:rsid w:val="55C53DDA"/>
    <w:rsid w:val="55E73764"/>
    <w:rsid w:val="56635347"/>
    <w:rsid w:val="56E53CCF"/>
    <w:rsid w:val="577B33D6"/>
    <w:rsid w:val="57A85FDD"/>
    <w:rsid w:val="57D4604C"/>
    <w:rsid w:val="583E1753"/>
    <w:rsid w:val="584026D9"/>
    <w:rsid w:val="58547A61"/>
    <w:rsid w:val="58CE3242"/>
    <w:rsid w:val="58F94086"/>
    <w:rsid w:val="59514F24"/>
    <w:rsid w:val="5A006E37"/>
    <w:rsid w:val="5C1E54E6"/>
    <w:rsid w:val="5C465896"/>
    <w:rsid w:val="5C5656FB"/>
    <w:rsid w:val="5C575ECB"/>
    <w:rsid w:val="5C9759FE"/>
    <w:rsid w:val="5CE7687A"/>
    <w:rsid w:val="5D862F00"/>
    <w:rsid w:val="5DDE1391"/>
    <w:rsid w:val="5DDF358F"/>
    <w:rsid w:val="5E3F3F3F"/>
    <w:rsid w:val="5E6D2A13"/>
    <w:rsid w:val="5ED26F4F"/>
    <w:rsid w:val="5ED42A73"/>
    <w:rsid w:val="5F925B11"/>
    <w:rsid w:val="60526897"/>
    <w:rsid w:val="60CF4A66"/>
    <w:rsid w:val="612D3C7B"/>
    <w:rsid w:val="616F244D"/>
    <w:rsid w:val="61765028"/>
    <w:rsid w:val="622B1C79"/>
    <w:rsid w:val="624E0F13"/>
    <w:rsid w:val="62F92F29"/>
    <w:rsid w:val="63175A08"/>
    <w:rsid w:val="634C17BE"/>
    <w:rsid w:val="635F570D"/>
    <w:rsid w:val="63FE731D"/>
    <w:rsid w:val="64400562"/>
    <w:rsid w:val="645268DD"/>
    <w:rsid w:val="64555BC0"/>
    <w:rsid w:val="64E50514"/>
    <w:rsid w:val="650006E3"/>
    <w:rsid w:val="6607602D"/>
    <w:rsid w:val="661C6EBD"/>
    <w:rsid w:val="667154C6"/>
    <w:rsid w:val="66C45526"/>
    <w:rsid w:val="66D457C1"/>
    <w:rsid w:val="66DF73D5"/>
    <w:rsid w:val="66F74A7C"/>
    <w:rsid w:val="674C151B"/>
    <w:rsid w:val="676705B3"/>
    <w:rsid w:val="67F25F98"/>
    <w:rsid w:val="680B7554"/>
    <w:rsid w:val="680F7AC7"/>
    <w:rsid w:val="681364CD"/>
    <w:rsid w:val="682341A6"/>
    <w:rsid w:val="683226F9"/>
    <w:rsid w:val="68380F62"/>
    <w:rsid w:val="68425464"/>
    <w:rsid w:val="68745F2D"/>
    <w:rsid w:val="68AF601C"/>
    <w:rsid w:val="691B590A"/>
    <w:rsid w:val="69212E07"/>
    <w:rsid w:val="69393D31"/>
    <w:rsid w:val="69424D99"/>
    <w:rsid w:val="69586B2A"/>
    <w:rsid w:val="698450AA"/>
    <w:rsid w:val="69F273EE"/>
    <w:rsid w:val="69FF685E"/>
    <w:rsid w:val="6A16241A"/>
    <w:rsid w:val="6A2349DC"/>
    <w:rsid w:val="6A2F5543"/>
    <w:rsid w:val="6A667C1B"/>
    <w:rsid w:val="6AA50A05"/>
    <w:rsid w:val="6AF44007"/>
    <w:rsid w:val="6B667481"/>
    <w:rsid w:val="6B880FF7"/>
    <w:rsid w:val="6BE50B5D"/>
    <w:rsid w:val="6BFA622B"/>
    <w:rsid w:val="6C7F49DE"/>
    <w:rsid w:val="6CAE6026"/>
    <w:rsid w:val="6CC22A42"/>
    <w:rsid w:val="6D6B4986"/>
    <w:rsid w:val="6D717E9F"/>
    <w:rsid w:val="6E214B18"/>
    <w:rsid w:val="6E41530E"/>
    <w:rsid w:val="6E8822D0"/>
    <w:rsid w:val="6EFE4E26"/>
    <w:rsid w:val="6F131548"/>
    <w:rsid w:val="6FC80329"/>
    <w:rsid w:val="6FDF0FC9"/>
    <w:rsid w:val="70CA25C0"/>
    <w:rsid w:val="711815B5"/>
    <w:rsid w:val="718501AF"/>
    <w:rsid w:val="719B56EF"/>
    <w:rsid w:val="71D85554"/>
    <w:rsid w:val="71EE645F"/>
    <w:rsid w:val="72432714"/>
    <w:rsid w:val="72565E22"/>
    <w:rsid w:val="726C028A"/>
    <w:rsid w:val="727A2A79"/>
    <w:rsid w:val="72A24EE4"/>
    <w:rsid w:val="72FF7277"/>
    <w:rsid w:val="736A06E9"/>
    <w:rsid w:val="738F7283"/>
    <w:rsid w:val="739F4EC0"/>
    <w:rsid w:val="73B0602A"/>
    <w:rsid w:val="73F84155"/>
    <w:rsid w:val="73FE3C1B"/>
    <w:rsid w:val="7450169B"/>
    <w:rsid w:val="74D61027"/>
    <w:rsid w:val="74DE6B13"/>
    <w:rsid w:val="74E4243A"/>
    <w:rsid w:val="74F6076D"/>
    <w:rsid w:val="75C06B19"/>
    <w:rsid w:val="76091AB6"/>
    <w:rsid w:val="765353AD"/>
    <w:rsid w:val="769E5A34"/>
    <w:rsid w:val="76CB1D9E"/>
    <w:rsid w:val="76DC2836"/>
    <w:rsid w:val="76F667DF"/>
    <w:rsid w:val="77000D49"/>
    <w:rsid w:val="77114A0B"/>
    <w:rsid w:val="7728668A"/>
    <w:rsid w:val="77D36B23"/>
    <w:rsid w:val="782557BB"/>
    <w:rsid w:val="78693C6D"/>
    <w:rsid w:val="78F64351"/>
    <w:rsid w:val="79317DBC"/>
    <w:rsid w:val="798110B1"/>
    <w:rsid w:val="79B64C9F"/>
    <w:rsid w:val="79E14685"/>
    <w:rsid w:val="79EA0F1A"/>
    <w:rsid w:val="7A0177CE"/>
    <w:rsid w:val="7A3E6F9D"/>
    <w:rsid w:val="7A576F7D"/>
    <w:rsid w:val="7AB75F2D"/>
    <w:rsid w:val="7AC758F2"/>
    <w:rsid w:val="7B492B25"/>
    <w:rsid w:val="7B523A2D"/>
    <w:rsid w:val="7B5D0D24"/>
    <w:rsid w:val="7B662909"/>
    <w:rsid w:val="7B926784"/>
    <w:rsid w:val="7BA07DAA"/>
    <w:rsid w:val="7BB6521A"/>
    <w:rsid w:val="7C05637D"/>
    <w:rsid w:val="7C5867DC"/>
    <w:rsid w:val="7C792C12"/>
    <w:rsid w:val="7C811F23"/>
    <w:rsid w:val="7CEA2CFB"/>
    <w:rsid w:val="7CEC6317"/>
    <w:rsid w:val="7D8A0903"/>
    <w:rsid w:val="7D8F476B"/>
    <w:rsid w:val="7DB139A6"/>
    <w:rsid w:val="7DB71466"/>
    <w:rsid w:val="7DF76D39"/>
    <w:rsid w:val="7E2D723B"/>
    <w:rsid w:val="7E851E42"/>
    <w:rsid w:val="7F180B8A"/>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Date"/>
    <w:basedOn w:val="1"/>
    <w:next w:val="1"/>
    <w:link w:val="96"/>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Editor's Note Char"/>
    <w:link w:val="76"/>
    <w:qFormat/>
    <w:locked/>
    <w:uiPriority w:val="0"/>
    <w:rPr>
      <w:rFonts w:ascii="Times New Roman" w:hAnsi="Times New Roman"/>
      <w:color w:val="FF0000"/>
      <w:lang w:eastAsia="en-US"/>
    </w:rPr>
  </w:style>
  <w:style w:type="character" w:customStyle="1" w:styleId="91">
    <w:name w:val="Subtle Emphasis"/>
    <w:qFormat/>
    <w:uiPriority w:val="19"/>
    <w:rPr>
      <w:i/>
      <w:iCs/>
      <w:color w:val="404040"/>
    </w:rPr>
  </w:style>
  <w:style w:type="character" w:customStyle="1" w:styleId="92">
    <w:name w:val="Comment Text Char"/>
    <w:basedOn w:val="45"/>
    <w:link w:val="29"/>
    <w:semiHidden/>
    <w:qFormat/>
    <w:uiPriority w:val="99"/>
    <w:rPr>
      <w:rFonts w:ascii="Times New Roman" w:hAnsi="Times New Roman"/>
      <w:lang w:eastAsia="en-US"/>
    </w:rPr>
  </w:style>
  <w:style w:type="paragraph" w:styleId="93">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4">
    <w:name w:val="TAH Car"/>
    <w:qFormat/>
    <w:uiPriority w:val="0"/>
    <w:rPr>
      <w:rFonts w:ascii="Arial" w:hAnsi="Arial" w:eastAsia="Times New Roman"/>
      <w:b/>
      <w:sz w:val="18"/>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8</Pages>
  <Words>2919</Words>
  <Characters>19616</Characters>
  <Lines>24</Lines>
  <Paragraphs>6</Paragraphs>
  <TotalTime>12</TotalTime>
  <ScaleCrop>false</ScaleCrop>
  <LinksUpToDate>false</LinksUpToDate>
  <CharactersWithSpaces>22404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2026-01-29T06:15:11Z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B90E7FF8C57F4BD7A832F10C880F762F_13</vt:lpwstr>
  </property>
  <property fmtid="{D5CDD505-2E9C-101B-9397-08002B2CF9AE}" pid="5" name="KSOTemplateDocerSaveRecord">
    <vt:lpwstr>eyJoZGlkIjoiMzYwYWE2ZGE2OWRmMDA1ZTU4MTc3YjdhOWM1NzIzMTkiLCJ1c2VySWQiOiIxNzgxODczODYxIn0=</vt:lpwstr>
  </property>
</Properties>
</file>